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5D" w:rsidRPr="00C2548B" w:rsidRDefault="009528BA" w:rsidP="00877279">
      <w:pPr>
        <w:adjustRightInd w:val="0"/>
        <w:snapToGrid w:val="0"/>
        <w:spacing w:beforeLines="50" w:afterLines="50"/>
        <w:jc w:val="center"/>
        <w:rPr>
          <w:rFonts w:eastAsia="標楷體"/>
          <w:b/>
          <w:bCs/>
          <w:sz w:val="40"/>
          <w:szCs w:val="28"/>
        </w:rPr>
      </w:pPr>
      <w:r w:rsidRPr="00C2548B">
        <w:rPr>
          <w:rFonts w:eastAsia="標楷體"/>
          <w:b/>
          <w:bCs/>
          <w:sz w:val="40"/>
          <w:szCs w:val="28"/>
        </w:rPr>
        <w:t xml:space="preserve">Fear </w:t>
      </w:r>
      <w:r w:rsidR="000662E4">
        <w:rPr>
          <w:rFonts w:eastAsia="標楷體" w:hint="eastAsia"/>
          <w:b/>
          <w:bCs/>
          <w:sz w:val="40"/>
          <w:szCs w:val="28"/>
        </w:rPr>
        <w:t>Control</w:t>
      </w:r>
      <w:r w:rsidRPr="00C2548B">
        <w:rPr>
          <w:rFonts w:eastAsia="標楷體"/>
          <w:b/>
          <w:bCs/>
          <w:sz w:val="40"/>
          <w:szCs w:val="28"/>
        </w:rPr>
        <w:t>Learning System Usage Regu</w:t>
      </w:r>
      <w:r w:rsidR="00336B28" w:rsidRPr="00C2548B">
        <w:rPr>
          <w:rFonts w:eastAsia="標楷體"/>
          <w:b/>
          <w:bCs/>
          <w:sz w:val="40"/>
          <w:szCs w:val="28"/>
        </w:rPr>
        <w:t>l</w:t>
      </w:r>
      <w:r w:rsidRPr="00C2548B">
        <w:rPr>
          <w:rFonts w:eastAsia="標楷體"/>
          <w:b/>
          <w:bCs/>
          <w:sz w:val="40"/>
          <w:szCs w:val="28"/>
        </w:rPr>
        <w:t>ation</w:t>
      </w:r>
      <w:r w:rsidR="00336B28" w:rsidRPr="00C2548B">
        <w:rPr>
          <w:rFonts w:eastAsia="標楷體"/>
          <w:b/>
          <w:bCs/>
          <w:sz w:val="40"/>
          <w:szCs w:val="28"/>
        </w:rPr>
        <w:t>s</w:t>
      </w:r>
    </w:p>
    <w:p w:rsidR="00EC7622" w:rsidRPr="00C2548B" w:rsidRDefault="002B2174" w:rsidP="002B2174">
      <w:pPr>
        <w:wordWrap w:val="0"/>
        <w:jc w:val="right"/>
        <w:rPr>
          <w:rFonts w:eastAsia="標楷體"/>
          <w:sz w:val="20"/>
        </w:rPr>
      </w:pPr>
      <w:r w:rsidRPr="00C2548B">
        <w:rPr>
          <w:rFonts w:eastAsia="標楷體"/>
          <w:sz w:val="20"/>
        </w:rPr>
        <w:t xml:space="preserve">Approved by the Office of Research and Development </w:t>
      </w:r>
      <w:r w:rsidR="00B315BC">
        <w:rPr>
          <w:rFonts w:eastAsia="標楷體"/>
          <w:sz w:val="20"/>
        </w:rPr>
        <w:t>o</w:t>
      </w:r>
      <w:r w:rsidRPr="00C2548B">
        <w:rPr>
          <w:rFonts w:eastAsia="標楷體"/>
          <w:sz w:val="20"/>
        </w:rPr>
        <w:t>n January 8, 2015</w:t>
      </w:r>
    </w:p>
    <w:p w:rsidR="000F11D5" w:rsidRPr="00C2548B" w:rsidRDefault="000F11D5" w:rsidP="00D46D5D">
      <w:pPr>
        <w:jc w:val="right"/>
        <w:rPr>
          <w:rFonts w:eastAsia="標楷體"/>
          <w:sz w:val="20"/>
        </w:rPr>
      </w:pPr>
    </w:p>
    <w:p w:rsidR="00D46D5D" w:rsidRPr="00BC3824" w:rsidRDefault="00336B28" w:rsidP="00D46D5D">
      <w:pPr>
        <w:pStyle w:val="a3"/>
        <w:numPr>
          <w:ilvl w:val="0"/>
          <w:numId w:val="2"/>
        </w:numPr>
        <w:ind w:leftChars="0"/>
        <w:rPr>
          <w:rFonts w:eastAsia="標楷體"/>
        </w:rPr>
      </w:pPr>
      <w:r w:rsidRPr="00C2548B">
        <w:rPr>
          <w:rFonts w:eastAsia="標楷體"/>
        </w:rPr>
        <w:t xml:space="preserve">The Fear </w:t>
      </w:r>
      <w:r w:rsidR="000662E4">
        <w:rPr>
          <w:rFonts w:eastAsia="標楷體" w:hint="eastAsia"/>
        </w:rPr>
        <w:t>C</w:t>
      </w:r>
      <w:r w:rsidR="000662E4" w:rsidRPr="00BC3824">
        <w:rPr>
          <w:rFonts w:eastAsia="標楷體" w:hint="eastAsia"/>
        </w:rPr>
        <w:t>ontrol</w:t>
      </w:r>
      <w:r w:rsidRPr="00BC3824">
        <w:rPr>
          <w:rFonts w:eastAsia="標楷體"/>
        </w:rPr>
        <w:t xml:space="preserve">Learning System Usage Regulations </w:t>
      </w:r>
      <w:r w:rsidR="00B315BC" w:rsidRPr="00BC3824">
        <w:rPr>
          <w:rFonts w:eastAsia="標楷體"/>
        </w:rPr>
        <w:t>have been</w:t>
      </w:r>
      <w:r w:rsidR="00465185" w:rsidRPr="00BC3824">
        <w:rPr>
          <w:rFonts w:eastAsia="標楷體" w:hint="eastAsia"/>
        </w:rPr>
        <w:t>formulated</w:t>
      </w:r>
      <w:r w:rsidRPr="00BC3824">
        <w:rPr>
          <w:rFonts w:eastAsia="標楷體"/>
        </w:rPr>
        <w:t xml:space="preserve">to optimize </w:t>
      </w:r>
      <w:r w:rsidR="0051495C" w:rsidRPr="00BC3824">
        <w:rPr>
          <w:rFonts w:eastAsia="標楷體" w:hint="eastAsia"/>
        </w:rPr>
        <w:t>instrument usage</w:t>
      </w:r>
      <w:r w:rsidRPr="00BC3824">
        <w:rPr>
          <w:rFonts w:eastAsia="標楷體"/>
        </w:rPr>
        <w:t>efficiency.</w:t>
      </w:r>
    </w:p>
    <w:p w:rsidR="00D46D5D" w:rsidRPr="00BC3824" w:rsidRDefault="00E66D2A" w:rsidP="00D46D5D">
      <w:pPr>
        <w:pStyle w:val="a3"/>
        <w:numPr>
          <w:ilvl w:val="0"/>
          <w:numId w:val="2"/>
        </w:numPr>
        <w:ind w:leftChars="0"/>
        <w:rPr>
          <w:rFonts w:eastAsia="標楷體"/>
        </w:rPr>
      </w:pPr>
      <w:r w:rsidRPr="00BC3824">
        <w:rPr>
          <w:rFonts w:eastAsia="標楷體"/>
          <w:bCs/>
        </w:rPr>
        <w:t>The instrument include</w:t>
      </w:r>
      <w:r w:rsidR="006920CC">
        <w:rPr>
          <w:rFonts w:eastAsia="標楷體" w:hint="eastAsia"/>
          <w:bCs/>
        </w:rPr>
        <w:t>s</w:t>
      </w:r>
      <w:bookmarkStart w:id="0" w:name="_GoBack"/>
      <w:bookmarkEnd w:id="0"/>
      <w:r w:rsidR="00251E65" w:rsidRPr="00BC3824">
        <w:rPr>
          <w:rFonts w:eastAsia="標楷體"/>
          <w:bCs/>
        </w:rPr>
        <w:t xml:space="preserve"> the following</w:t>
      </w:r>
      <w:r w:rsidRPr="00BC3824">
        <w:rPr>
          <w:rFonts w:eastAsia="標楷體"/>
          <w:bCs/>
        </w:rPr>
        <w:t>:</w:t>
      </w:r>
    </w:p>
    <w:p w:rsidR="00062626" w:rsidRPr="00BC3824" w:rsidRDefault="00E66D2A" w:rsidP="00062626">
      <w:pPr>
        <w:pStyle w:val="a3"/>
        <w:numPr>
          <w:ilvl w:val="0"/>
          <w:numId w:val="5"/>
        </w:numPr>
        <w:ind w:leftChars="0"/>
        <w:rPr>
          <w:rFonts w:eastAsia="標楷體"/>
        </w:rPr>
      </w:pPr>
      <w:r w:rsidRPr="00BC3824">
        <w:rPr>
          <w:rFonts w:eastAsia="標楷體"/>
        </w:rPr>
        <w:t xml:space="preserve">Brand and </w:t>
      </w:r>
      <w:r w:rsidR="002F2EC1" w:rsidRPr="00BC3824">
        <w:rPr>
          <w:rFonts w:eastAsia="標楷體" w:hint="eastAsia"/>
        </w:rPr>
        <w:t>model</w:t>
      </w:r>
      <w:r w:rsidRPr="00BC3824">
        <w:rPr>
          <w:rFonts w:eastAsia="標楷體"/>
        </w:rPr>
        <w:t>: Coulbourn Instruments.</w:t>
      </w:r>
    </w:p>
    <w:p w:rsidR="00062626" w:rsidRPr="00BC3824" w:rsidRDefault="002B2174" w:rsidP="00062626">
      <w:pPr>
        <w:pStyle w:val="a3"/>
        <w:numPr>
          <w:ilvl w:val="0"/>
          <w:numId w:val="5"/>
        </w:numPr>
        <w:ind w:leftChars="0"/>
        <w:rPr>
          <w:rFonts w:eastAsia="標楷體"/>
        </w:rPr>
      </w:pPr>
      <w:r w:rsidRPr="00BC3824">
        <w:rPr>
          <w:rFonts w:eastAsia="標楷體"/>
          <w:kern w:val="0"/>
        </w:rPr>
        <w:t>Main components and functions:</w:t>
      </w:r>
    </w:p>
    <w:p w:rsidR="00E648E6" w:rsidRPr="00BC3824" w:rsidRDefault="00336B28" w:rsidP="00E648E6">
      <w:pPr>
        <w:pStyle w:val="a3"/>
        <w:numPr>
          <w:ilvl w:val="0"/>
          <w:numId w:val="6"/>
        </w:numPr>
        <w:ind w:leftChars="0"/>
        <w:rPr>
          <w:rFonts w:eastAsia="標楷體"/>
        </w:rPr>
      </w:pPr>
      <w:r w:rsidRPr="00BC3824">
        <w:rPr>
          <w:rFonts w:eastAsia="標楷體"/>
        </w:rPr>
        <w:t>Digital infrared camera: Capable of detecting and analyzing the behavior of four mice</w:t>
      </w:r>
      <w:r w:rsidR="00251E65" w:rsidRPr="00BC3824">
        <w:rPr>
          <w:rFonts w:eastAsia="標楷體"/>
        </w:rPr>
        <w:t xml:space="preserve"> simultaneously</w:t>
      </w:r>
      <w:r w:rsidRPr="00BC3824">
        <w:rPr>
          <w:rFonts w:eastAsia="標楷體"/>
        </w:rPr>
        <w:t xml:space="preserve">. The camera </w:t>
      </w:r>
      <w:r w:rsidR="007B2B83" w:rsidRPr="00BC3824">
        <w:rPr>
          <w:rFonts w:eastAsia="標楷體"/>
        </w:rPr>
        <w:t xml:space="preserve">produces images with </w:t>
      </w:r>
      <w:r w:rsidRPr="00BC3824">
        <w:rPr>
          <w:rFonts w:eastAsia="標楷體"/>
        </w:rPr>
        <w:t>resolution</w:t>
      </w:r>
      <w:r w:rsidR="007B2B83" w:rsidRPr="00BC3824">
        <w:rPr>
          <w:rFonts w:eastAsia="標楷體"/>
        </w:rPr>
        <w:t xml:space="preserve"> greater than </w:t>
      </w:r>
      <w:r w:rsidRPr="00BC3824">
        <w:rPr>
          <w:rFonts w:eastAsia="標楷體"/>
        </w:rPr>
        <w:t xml:space="preserve">640 </w:t>
      </w:r>
      <w:r w:rsidRPr="00BC3824">
        <w:rPr>
          <w:rFonts w:eastAsia="標楷體"/>
        </w:rPr>
        <w:sym w:font="Symbol" w:char="F0B4"/>
      </w:r>
      <w:r w:rsidRPr="00BC3824">
        <w:rPr>
          <w:rFonts w:eastAsia="標楷體"/>
        </w:rPr>
        <w:t xml:space="preserve"> 480 pixels. The camera can </w:t>
      </w:r>
      <w:r w:rsidR="00251E65" w:rsidRPr="00BC3824">
        <w:rPr>
          <w:rFonts w:eastAsia="標楷體"/>
        </w:rPr>
        <w:t xml:space="preserve">quickly </w:t>
      </w:r>
      <w:r w:rsidRPr="00BC3824">
        <w:rPr>
          <w:rFonts w:eastAsia="標楷體"/>
        </w:rPr>
        <w:t xml:space="preserve">transmit and record infrared </w:t>
      </w:r>
      <w:r w:rsidR="007B2B83" w:rsidRPr="00BC3824">
        <w:rPr>
          <w:rFonts w:eastAsia="標楷體"/>
        </w:rPr>
        <w:t>black and white image</w:t>
      </w:r>
      <w:r w:rsidR="00251E65" w:rsidRPr="00BC3824">
        <w:rPr>
          <w:rFonts w:eastAsia="標楷體"/>
        </w:rPr>
        <w:t>s</w:t>
      </w:r>
      <w:r w:rsidR="00863623" w:rsidRPr="00BC3824">
        <w:rPr>
          <w:rFonts w:eastAsia="標楷體"/>
        </w:rPr>
        <w:t xml:space="preserve">, which can be analyzed </w:t>
      </w:r>
      <w:r w:rsidR="00251E65" w:rsidRPr="00BC3824">
        <w:rPr>
          <w:rFonts w:eastAsia="標楷體"/>
        </w:rPr>
        <w:t>using</w:t>
      </w:r>
      <w:r w:rsidR="007B2B83" w:rsidRPr="00BC3824">
        <w:rPr>
          <w:rFonts w:eastAsia="標楷體"/>
        </w:rPr>
        <w:t>software.</w:t>
      </w:r>
    </w:p>
    <w:p w:rsidR="00E648E6" w:rsidRPr="00BC3824" w:rsidRDefault="009528BA" w:rsidP="00E648E6">
      <w:pPr>
        <w:pStyle w:val="a3"/>
        <w:numPr>
          <w:ilvl w:val="0"/>
          <w:numId w:val="6"/>
        </w:numPr>
        <w:ind w:leftChars="0"/>
        <w:rPr>
          <w:rFonts w:eastAsia="標楷體"/>
        </w:rPr>
      </w:pPr>
      <w:r w:rsidRPr="00BC3824">
        <w:rPr>
          <w:rFonts w:eastAsia="標楷體"/>
        </w:rPr>
        <w:t xml:space="preserve">Ambient light control functions: By using the software to control the ambient lighting, </w:t>
      </w:r>
      <w:r w:rsidR="00662B7A" w:rsidRPr="00BC3824">
        <w:rPr>
          <w:rFonts w:eastAsia="標楷體"/>
        </w:rPr>
        <w:t>users</w:t>
      </w:r>
      <w:r w:rsidRPr="00BC3824">
        <w:rPr>
          <w:rFonts w:eastAsia="標楷體"/>
        </w:rPr>
        <w:t xml:space="preserve"> can conduct visual stimulation experiments on mice.</w:t>
      </w:r>
    </w:p>
    <w:p w:rsidR="00E648E6" w:rsidRPr="00BC3824" w:rsidRDefault="009528BA" w:rsidP="00E648E6">
      <w:pPr>
        <w:pStyle w:val="a3"/>
        <w:numPr>
          <w:ilvl w:val="0"/>
          <w:numId w:val="6"/>
        </w:numPr>
        <w:ind w:leftChars="0"/>
        <w:rPr>
          <w:rFonts w:eastAsia="標楷體"/>
        </w:rPr>
      </w:pPr>
      <w:r w:rsidRPr="00BC3824">
        <w:rPr>
          <w:rFonts w:eastAsia="標楷體"/>
        </w:rPr>
        <w:t>Electricity stimulation function: By setting the electricity input or output, users can control the electricity stimulation duration, period between each stimulation, and stimulation frequency.</w:t>
      </w:r>
    </w:p>
    <w:p w:rsidR="00E648E6" w:rsidRPr="00BC3824" w:rsidRDefault="009528BA" w:rsidP="009528BA">
      <w:pPr>
        <w:pStyle w:val="a3"/>
        <w:numPr>
          <w:ilvl w:val="0"/>
          <w:numId w:val="6"/>
        </w:numPr>
        <w:ind w:leftChars="0"/>
        <w:rPr>
          <w:rFonts w:eastAsia="標楷體"/>
        </w:rPr>
      </w:pPr>
      <w:r w:rsidRPr="00BC3824">
        <w:rPr>
          <w:rFonts w:eastAsia="標楷體"/>
        </w:rPr>
        <w:t>Sound stimulation function: The software can be used to memorize and set 10 types of stimulation noise or sound frequencies. Users can control the following sound properties: tone, rustling, volume, start and end time of the sound, duration from silence to maximum sound, repeated cycle of sounds, and stimulation frequencies.</w:t>
      </w:r>
    </w:p>
    <w:p w:rsidR="006C50DE" w:rsidRPr="00BC3824" w:rsidRDefault="00251E65" w:rsidP="00E648E6">
      <w:pPr>
        <w:pStyle w:val="a3"/>
        <w:numPr>
          <w:ilvl w:val="0"/>
          <w:numId w:val="6"/>
        </w:numPr>
        <w:ind w:leftChars="0"/>
        <w:rPr>
          <w:rFonts w:eastAsia="標楷體"/>
        </w:rPr>
      </w:pPr>
      <w:r w:rsidRPr="00BC3824">
        <w:rPr>
          <w:rFonts w:eastAsia="標楷體"/>
        </w:rPr>
        <w:t>Software for operating the f</w:t>
      </w:r>
      <w:r w:rsidR="00336B28" w:rsidRPr="00BC3824">
        <w:rPr>
          <w:rFonts w:eastAsia="標楷體"/>
        </w:rPr>
        <w:t xml:space="preserve">ear </w:t>
      </w:r>
      <w:r w:rsidR="000662E4" w:rsidRPr="00BC3824">
        <w:rPr>
          <w:rFonts w:eastAsia="標楷體" w:hint="eastAsia"/>
        </w:rPr>
        <w:t>control</w:t>
      </w:r>
      <w:r w:rsidR="00336B28" w:rsidRPr="00BC3824">
        <w:rPr>
          <w:rFonts w:eastAsia="標楷體"/>
        </w:rPr>
        <w:t>learning memory system.</w:t>
      </w:r>
    </w:p>
    <w:p w:rsidR="00E648E6" w:rsidRPr="003F6D1E" w:rsidRDefault="00E66D2A" w:rsidP="00062626">
      <w:pPr>
        <w:pStyle w:val="a3"/>
        <w:numPr>
          <w:ilvl w:val="0"/>
          <w:numId w:val="5"/>
        </w:numPr>
        <w:ind w:leftChars="0"/>
        <w:rPr>
          <w:rFonts w:eastAsia="標楷體"/>
        </w:rPr>
      </w:pPr>
      <w:r w:rsidRPr="00BC3824">
        <w:rPr>
          <w:rFonts w:eastAsia="標楷體"/>
        </w:rPr>
        <w:t xml:space="preserve">Secondary components </w:t>
      </w:r>
      <w:r w:rsidRPr="003F6D1E">
        <w:rPr>
          <w:rFonts w:eastAsia="標楷體"/>
        </w:rPr>
        <w:t>and functions:</w:t>
      </w:r>
    </w:p>
    <w:p w:rsidR="00E648E6" w:rsidRPr="003F6D1E" w:rsidRDefault="00E66D2A" w:rsidP="006C50DE">
      <w:pPr>
        <w:pStyle w:val="a3"/>
        <w:numPr>
          <w:ilvl w:val="0"/>
          <w:numId w:val="7"/>
        </w:numPr>
        <w:ind w:leftChars="0"/>
        <w:rPr>
          <w:rFonts w:eastAsia="標楷體"/>
        </w:rPr>
      </w:pPr>
      <w:r w:rsidRPr="003F6D1E">
        <w:rPr>
          <w:rFonts w:eastAsia="標楷體"/>
        </w:rPr>
        <w:t>Optogenetic components include</w:t>
      </w:r>
      <w:r w:rsidR="006E0D24" w:rsidRPr="003F6D1E">
        <w:rPr>
          <w:rFonts w:eastAsia="標楷體"/>
        </w:rPr>
        <w:t xml:space="preserve"> the following</w:t>
      </w:r>
      <w:r w:rsidRPr="003F6D1E">
        <w:rPr>
          <w:rFonts w:eastAsia="標楷體"/>
        </w:rPr>
        <w:t>:</w:t>
      </w:r>
    </w:p>
    <w:p w:rsidR="006C50DE" w:rsidRPr="003F6D1E" w:rsidRDefault="00336B28" w:rsidP="006C50DE">
      <w:pPr>
        <w:pStyle w:val="a3"/>
        <w:numPr>
          <w:ilvl w:val="4"/>
          <w:numId w:val="11"/>
        </w:numPr>
        <w:ind w:leftChars="0"/>
        <w:rPr>
          <w:rFonts w:eastAsia="標楷體"/>
        </w:rPr>
      </w:pPr>
      <w:r w:rsidRPr="003F6D1E">
        <w:rPr>
          <w:rFonts w:eastAsia="標楷體"/>
        </w:rPr>
        <w:t xml:space="preserve">Optogenetic double-channel light stimulator </w:t>
      </w:r>
      <w:r w:rsidR="006E0D24" w:rsidRPr="003F6D1E">
        <w:rPr>
          <w:rFonts w:eastAsia="標楷體"/>
        </w:rPr>
        <w:t xml:space="preserve">with a </w:t>
      </w:r>
      <w:r w:rsidRPr="003F6D1E">
        <w:rPr>
          <w:rFonts w:eastAsia="標楷體"/>
        </w:rPr>
        <w:t>low-resistance rotation axis</w:t>
      </w:r>
      <w:r w:rsidR="00543DD1" w:rsidRPr="003F6D1E">
        <w:rPr>
          <w:rFonts w:eastAsia="標楷體"/>
        </w:rPr>
        <w:t>.</w:t>
      </w:r>
    </w:p>
    <w:p w:rsidR="006C50DE" w:rsidRPr="00BC3824" w:rsidRDefault="00E66D2A" w:rsidP="006C50DE">
      <w:pPr>
        <w:pStyle w:val="a3"/>
        <w:numPr>
          <w:ilvl w:val="4"/>
          <w:numId w:val="11"/>
        </w:numPr>
        <w:ind w:leftChars="0"/>
        <w:rPr>
          <w:rFonts w:eastAsia="標楷體"/>
        </w:rPr>
      </w:pPr>
      <w:r w:rsidRPr="003F6D1E">
        <w:rPr>
          <w:rFonts w:eastAsia="標楷體"/>
        </w:rPr>
        <w:t>Optogenetic LED stimula</w:t>
      </w:r>
      <w:r w:rsidRPr="00BC3824">
        <w:rPr>
          <w:rFonts w:eastAsia="標楷體"/>
        </w:rPr>
        <w:t>tor module:</w:t>
      </w:r>
    </w:p>
    <w:p w:rsidR="005702DD" w:rsidRPr="00BC3824" w:rsidRDefault="00E66D2A" w:rsidP="005702DD">
      <w:pPr>
        <w:pStyle w:val="a3"/>
        <w:numPr>
          <w:ilvl w:val="0"/>
          <w:numId w:val="14"/>
        </w:numPr>
        <w:ind w:leftChars="0"/>
        <w:rPr>
          <w:rFonts w:eastAsia="標楷體"/>
        </w:rPr>
      </w:pPr>
      <w:r w:rsidRPr="00BC3824">
        <w:rPr>
          <w:rFonts w:eastAsia="標楷體"/>
        </w:rPr>
        <w:t xml:space="preserve">Output light color: </w:t>
      </w:r>
      <w:r w:rsidR="006E0D24" w:rsidRPr="00BC3824">
        <w:rPr>
          <w:rFonts w:eastAsia="標楷體"/>
        </w:rPr>
        <w:t>b</w:t>
      </w:r>
      <w:r w:rsidRPr="00BC3824">
        <w:rPr>
          <w:rFonts w:eastAsia="標楷體"/>
        </w:rPr>
        <w:t xml:space="preserve">lue, </w:t>
      </w:r>
      <w:r w:rsidR="005702DD" w:rsidRPr="00BC3824">
        <w:rPr>
          <w:rFonts w:eastAsia="標楷體"/>
        </w:rPr>
        <w:t>465nm</w:t>
      </w:r>
      <w:r w:rsidR="006E0D24" w:rsidRPr="00BC3824">
        <w:rPr>
          <w:rFonts w:eastAsia="標楷體"/>
        </w:rPr>
        <w:t xml:space="preserve">in </w:t>
      </w:r>
      <w:r w:rsidRPr="00BC3824">
        <w:rPr>
          <w:rFonts w:eastAsia="標楷體"/>
        </w:rPr>
        <w:t>wavelength, output of 24 mW.</w:t>
      </w:r>
    </w:p>
    <w:p w:rsidR="005702DD" w:rsidRPr="00BC3824" w:rsidRDefault="00E66D2A" w:rsidP="005702DD">
      <w:pPr>
        <w:pStyle w:val="a3"/>
        <w:numPr>
          <w:ilvl w:val="0"/>
          <w:numId w:val="14"/>
        </w:numPr>
        <w:ind w:leftChars="0"/>
        <w:rPr>
          <w:rFonts w:eastAsia="標楷體"/>
        </w:rPr>
      </w:pPr>
      <w:r w:rsidRPr="00BC3824">
        <w:rPr>
          <w:rFonts w:eastAsia="標楷體"/>
        </w:rPr>
        <w:t xml:space="preserve">Output light color: </w:t>
      </w:r>
      <w:r w:rsidR="006E0D24" w:rsidRPr="00BC3824">
        <w:rPr>
          <w:rFonts w:eastAsia="標楷體"/>
        </w:rPr>
        <w:t>o</w:t>
      </w:r>
      <w:r w:rsidRPr="00BC3824">
        <w:rPr>
          <w:rFonts w:eastAsia="標楷體"/>
        </w:rPr>
        <w:t xml:space="preserve">range, 620–625 </w:t>
      </w:r>
      <w:r w:rsidR="006E0D24" w:rsidRPr="00BC3824">
        <w:rPr>
          <w:rFonts w:eastAsia="標楷體"/>
        </w:rPr>
        <w:t xml:space="preserve">nm in </w:t>
      </w:r>
      <w:r w:rsidRPr="00BC3824">
        <w:rPr>
          <w:rFonts w:eastAsia="標楷體"/>
        </w:rPr>
        <w:t>wavelength, output of 10 mW.</w:t>
      </w:r>
    </w:p>
    <w:p w:rsidR="00D46D5D" w:rsidRPr="00BC3824" w:rsidRDefault="00883782" w:rsidP="005702DD">
      <w:pPr>
        <w:pStyle w:val="a3"/>
        <w:numPr>
          <w:ilvl w:val="0"/>
          <w:numId w:val="2"/>
        </w:numPr>
        <w:ind w:leftChars="0" w:left="993" w:hanging="993"/>
        <w:rPr>
          <w:rFonts w:eastAsia="標楷體"/>
        </w:rPr>
      </w:pPr>
      <w:r w:rsidRPr="00BC3824">
        <w:rPr>
          <w:rFonts w:eastAsia="標楷體" w:hint="eastAsia"/>
          <w:bCs/>
        </w:rPr>
        <w:t>T</w:t>
      </w:r>
      <w:r w:rsidR="009528BA" w:rsidRPr="00BC3824">
        <w:rPr>
          <w:rFonts w:eastAsia="標楷體"/>
          <w:bCs/>
        </w:rPr>
        <w:t xml:space="preserve">his instrument </w:t>
      </w:r>
      <w:r w:rsidR="006E0D24" w:rsidRPr="00BC3824">
        <w:rPr>
          <w:rFonts w:eastAsia="標楷體"/>
          <w:bCs/>
        </w:rPr>
        <w:t>is</w:t>
      </w:r>
      <w:r w:rsidRPr="00BC3824">
        <w:rPr>
          <w:rFonts w:eastAsia="標楷體" w:hint="eastAsia"/>
          <w:bCs/>
        </w:rPr>
        <w:t xml:space="preserve">to be used mainly by </w:t>
      </w:r>
      <w:r w:rsidR="009528BA" w:rsidRPr="00BC3824">
        <w:rPr>
          <w:rFonts w:eastAsia="標楷體"/>
          <w:bCs/>
        </w:rPr>
        <w:t>researchers from</w:t>
      </w:r>
      <w:r w:rsidRPr="00BC3824">
        <w:rPr>
          <w:rFonts w:eastAsia="標楷體" w:hint="eastAsia"/>
          <w:bCs/>
        </w:rPr>
        <w:t xml:space="preserve"> the</w:t>
      </w:r>
      <w:r w:rsidR="009528BA" w:rsidRPr="00BC3824">
        <w:rPr>
          <w:rFonts w:eastAsia="標楷體"/>
          <w:bCs/>
        </w:rPr>
        <w:t xml:space="preserve"> Taipei Medical </w:t>
      </w:r>
      <w:r w:rsidR="009528BA" w:rsidRPr="00BC3824">
        <w:rPr>
          <w:rFonts w:eastAsia="標楷體"/>
          <w:bCs/>
        </w:rPr>
        <w:lastRenderedPageBreak/>
        <w:t>University</w:t>
      </w:r>
      <w:r w:rsidR="00B32E93" w:rsidRPr="00BC3824">
        <w:rPr>
          <w:rFonts w:eastAsia="標楷體"/>
          <w:bCs/>
        </w:rPr>
        <w:t xml:space="preserve"> (TMU)</w:t>
      </w:r>
      <w:r w:rsidR="009528BA" w:rsidRPr="00BC3824">
        <w:rPr>
          <w:rFonts w:eastAsia="標楷體"/>
          <w:bCs/>
        </w:rPr>
        <w:t xml:space="preserve">, </w:t>
      </w:r>
      <w:r w:rsidR="00B32E93" w:rsidRPr="00BC3824">
        <w:rPr>
          <w:rFonts w:eastAsia="標楷體"/>
          <w:bCs/>
        </w:rPr>
        <w:t xml:space="preserve">TMU </w:t>
      </w:r>
      <w:r w:rsidR="009528BA" w:rsidRPr="00BC3824">
        <w:rPr>
          <w:rFonts w:eastAsia="標楷體"/>
          <w:bCs/>
        </w:rPr>
        <w:t xml:space="preserve">Hospital, </w:t>
      </w:r>
      <w:r w:rsidR="00B32E93" w:rsidRPr="00BC3824">
        <w:rPr>
          <w:rFonts w:eastAsia="標楷體"/>
          <w:bCs/>
        </w:rPr>
        <w:t xml:space="preserve">TMU </w:t>
      </w:r>
      <w:r w:rsidR="009528BA" w:rsidRPr="00BC3824">
        <w:rPr>
          <w:rFonts w:eastAsia="標楷體"/>
          <w:bCs/>
        </w:rPr>
        <w:t xml:space="preserve">Shuang Ho </w:t>
      </w:r>
      <w:r w:rsidR="00B32E93" w:rsidRPr="00BC3824">
        <w:rPr>
          <w:rFonts w:eastAsia="標楷體"/>
          <w:bCs/>
        </w:rPr>
        <w:t>Hospital</w:t>
      </w:r>
      <w:r w:rsidR="009528BA" w:rsidRPr="00BC3824">
        <w:rPr>
          <w:rFonts w:eastAsia="標楷體"/>
          <w:bCs/>
        </w:rPr>
        <w:t xml:space="preserve">, and Taipei Municipal Wanfang </w:t>
      </w:r>
      <w:r w:rsidR="00344E08" w:rsidRPr="00BC3824">
        <w:rPr>
          <w:rFonts w:eastAsia="標楷體"/>
          <w:bCs/>
        </w:rPr>
        <w:t>Hospital</w:t>
      </w:r>
      <w:r w:rsidR="009528BA" w:rsidRPr="00BC3824">
        <w:rPr>
          <w:rFonts w:eastAsia="標楷體"/>
          <w:bCs/>
        </w:rPr>
        <w:t>.</w:t>
      </w:r>
    </w:p>
    <w:p w:rsidR="003109C8" w:rsidRPr="00BC3824" w:rsidRDefault="00C77D2F" w:rsidP="005702DD">
      <w:pPr>
        <w:pStyle w:val="a3"/>
        <w:numPr>
          <w:ilvl w:val="0"/>
          <w:numId w:val="2"/>
        </w:numPr>
        <w:ind w:leftChars="0" w:left="993" w:hanging="993"/>
        <w:rPr>
          <w:rFonts w:eastAsia="標楷體"/>
        </w:rPr>
      </w:pPr>
      <w:r w:rsidRPr="00BC3824">
        <w:rPr>
          <w:rFonts w:eastAsia="標楷體"/>
        </w:rPr>
        <w:t>The instrument is located at the Medical Laboratory Science and Biology Building 4F, Old Animal Laboratory.</w:t>
      </w:r>
    </w:p>
    <w:p w:rsidR="005702DD" w:rsidRPr="00BC3824" w:rsidRDefault="00C77D2F" w:rsidP="005702DD">
      <w:pPr>
        <w:pStyle w:val="a3"/>
        <w:numPr>
          <w:ilvl w:val="0"/>
          <w:numId w:val="2"/>
        </w:numPr>
        <w:ind w:leftChars="0"/>
        <w:rPr>
          <w:rFonts w:eastAsia="標楷體"/>
        </w:rPr>
      </w:pPr>
      <w:r w:rsidRPr="00BC3824">
        <w:rPr>
          <w:rFonts w:eastAsia="標楷體"/>
          <w:bCs/>
          <w:kern w:val="0"/>
        </w:rPr>
        <w:t>Reservation</w:t>
      </w:r>
      <w:r w:rsidR="006E0D24" w:rsidRPr="00BC3824">
        <w:rPr>
          <w:rFonts w:eastAsia="標楷體"/>
          <w:bCs/>
          <w:kern w:val="0"/>
        </w:rPr>
        <w:t>s</w:t>
      </w:r>
      <w:r w:rsidRPr="00BC3824">
        <w:rPr>
          <w:rFonts w:eastAsia="標楷體"/>
          <w:bCs/>
          <w:kern w:val="0"/>
        </w:rPr>
        <w:t xml:space="preserve"> are </w:t>
      </w:r>
      <w:r w:rsidR="006E0D24" w:rsidRPr="00BC3824">
        <w:rPr>
          <w:rFonts w:eastAsia="標楷體"/>
          <w:bCs/>
          <w:kern w:val="0"/>
        </w:rPr>
        <w:t>made</w:t>
      </w:r>
      <w:r w:rsidRPr="00BC3824">
        <w:rPr>
          <w:rFonts w:eastAsia="標楷體"/>
          <w:bCs/>
          <w:kern w:val="0"/>
        </w:rPr>
        <w:t xml:space="preserve"> as follow</w:t>
      </w:r>
      <w:r w:rsidR="006E0D24" w:rsidRPr="00BC3824">
        <w:rPr>
          <w:rFonts w:eastAsia="標楷體"/>
          <w:bCs/>
          <w:kern w:val="0"/>
        </w:rPr>
        <w:t>s</w:t>
      </w:r>
      <w:r w:rsidRPr="00BC3824">
        <w:rPr>
          <w:rFonts w:eastAsia="標楷體"/>
          <w:bCs/>
          <w:kern w:val="0"/>
        </w:rPr>
        <w:t>:</w:t>
      </w:r>
    </w:p>
    <w:p w:rsidR="005702DD" w:rsidRPr="00BC3824" w:rsidRDefault="00662B7A" w:rsidP="005702DD">
      <w:pPr>
        <w:pStyle w:val="a3"/>
        <w:numPr>
          <w:ilvl w:val="0"/>
          <w:numId w:val="16"/>
        </w:numPr>
        <w:ind w:leftChars="0"/>
        <w:rPr>
          <w:rFonts w:eastAsia="標楷體"/>
        </w:rPr>
      </w:pPr>
      <w:r w:rsidRPr="00BC3824">
        <w:rPr>
          <w:rFonts w:eastAsia="標楷體"/>
          <w:kern w:val="0"/>
        </w:rPr>
        <w:t>Applicants</w:t>
      </w:r>
      <w:r w:rsidR="006E0D24" w:rsidRPr="00BC3824">
        <w:rPr>
          <w:rFonts w:eastAsia="標楷體"/>
          <w:kern w:val="0"/>
        </w:rPr>
        <w:t xml:space="preserve">who </w:t>
      </w:r>
      <w:r w:rsidRPr="00BC3824">
        <w:rPr>
          <w:rFonts w:eastAsia="標楷體"/>
          <w:kern w:val="0"/>
        </w:rPr>
        <w:t xml:space="preserve">plan to acquire the usage right of the instrument </w:t>
      </w:r>
      <w:r w:rsidR="006E0D24" w:rsidRPr="00BC3824">
        <w:rPr>
          <w:rFonts w:eastAsia="標楷體"/>
          <w:kern w:val="0"/>
        </w:rPr>
        <w:t>must</w:t>
      </w:r>
      <w:r w:rsidR="007B2B83" w:rsidRPr="00BC3824">
        <w:rPr>
          <w:rFonts w:eastAsia="標楷體"/>
          <w:kern w:val="0"/>
        </w:rPr>
        <w:t xml:space="preserve"> attend the Fear </w:t>
      </w:r>
      <w:r w:rsidR="000662E4" w:rsidRPr="00BC3824">
        <w:rPr>
          <w:rFonts w:eastAsia="標楷體"/>
        </w:rPr>
        <w:t xml:space="preserve">Control </w:t>
      </w:r>
      <w:r w:rsidR="007B2B83" w:rsidRPr="00BC3824">
        <w:rPr>
          <w:rFonts w:eastAsia="標楷體"/>
          <w:kern w:val="0"/>
        </w:rPr>
        <w:t xml:space="preserve">Learning System Training Course and </w:t>
      </w:r>
      <w:r w:rsidR="006E0D24" w:rsidRPr="00BC3824">
        <w:rPr>
          <w:rFonts w:eastAsia="標楷體"/>
          <w:kern w:val="0"/>
        </w:rPr>
        <w:t>practice operating the instrument</w:t>
      </w:r>
      <w:r w:rsidRPr="00BC3824">
        <w:rPr>
          <w:rFonts w:eastAsia="標楷體"/>
          <w:kern w:val="0"/>
        </w:rPr>
        <w:t xml:space="preserve"> 1–3 </w:t>
      </w:r>
      <w:r w:rsidR="006E0D24" w:rsidRPr="00BC3824">
        <w:rPr>
          <w:rFonts w:eastAsia="標楷體"/>
          <w:kern w:val="0"/>
        </w:rPr>
        <w:t>timeson</w:t>
      </w:r>
      <w:r w:rsidRPr="00BC3824">
        <w:rPr>
          <w:rFonts w:eastAsia="標楷體"/>
          <w:kern w:val="0"/>
        </w:rPr>
        <w:t xml:space="preserve"> the </w:t>
      </w:r>
      <w:r w:rsidR="007B2B83" w:rsidRPr="00BC3824">
        <w:rPr>
          <w:rFonts w:eastAsia="標楷體"/>
          <w:kern w:val="0"/>
        </w:rPr>
        <w:t xml:space="preserve">Fear </w:t>
      </w:r>
      <w:r w:rsidR="000662E4" w:rsidRPr="00BC3824">
        <w:rPr>
          <w:rFonts w:eastAsia="標楷體"/>
        </w:rPr>
        <w:t xml:space="preserve">Control </w:t>
      </w:r>
      <w:r w:rsidR="007B2B83" w:rsidRPr="00BC3824">
        <w:rPr>
          <w:rFonts w:eastAsia="標楷體"/>
          <w:kern w:val="0"/>
        </w:rPr>
        <w:t xml:space="preserve">Learning System Operation Course. After passing </w:t>
      </w:r>
      <w:r w:rsidR="006E0D24" w:rsidRPr="00BC3824">
        <w:rPr>
          <w:rFonts w:eastAsia="標楷體"/>
          <w:kern w:val="0"/>
        </w:rPr>
        <w:t xml:space="preserve">operation evaluation at </w:t>
      </w:r>
      <w:r w:rsidR="007B2B83" w:rsidRPr="00BC3824">
        <w:rPr>
          <w:rFonts w:eastAsia="標楷體"/>
          <w:kern w:val="0"/>
        </w:rPr>
        <w:t xml:space="preserve">the Laboratory Animal Center, the participant </w:t>
      </w:r>
      <w:r w:rsidR="006E0D24" w:rsidRPr="00BC3824">
        <w:rPr>
          <w:rFonts w:eastAsia="標楷體"/>
          <w:kern w:val="0"/>
        </w:rPr>
        <w:t>mustrequest</w:t>
      </w:r>
      <w:r w:rsidR="007B2B83" w:rsidRPr="00BC3824">
        <w:rPr>
          <w:rFonts w:eastAsia="標楷體"/>
          <w:kern w:val="0"/>
        </w:rPr>
        <w:t xml:space="preserve">Laboratory Animal Center Instrument Reservation System </w:t>
      </w:r>
      <w:r w:rsidR="00C2735B" w:rsidRPr="00BC3824">
        <w:rPr>
          <w:rFonts w:eastAsia="標楷體"/>
          <w:kern w:val="0"/>
        </w:rPr>
        <w:t>Permission to obtain usage rights.</w:t>
      </w:r>
    </w:p>
    <w:p w:rsidR="00C77D2F" w:rsidRPr="00BC3824" w:rsidRDefault="00C77D2F" w:rsidP="00877279">
      <w:pPr>
        <w:pStyle w:val="a3"/>
        <w:numPr>
          <w:ilvl w:val="0"/>
          <w:numId w:val="16"/>
        </w:numPr>
        <w:adjustRightInd w:val="0"/>
        <w:snapToGrid w:val="0"/>
        <w:spacing w:beforeLines="50" w:afterLines="50"/>
        <w:ind w:leftChars="0"/>
        <w:rPr>
          <w:rFonts w:eastAsia="標楷體"/>
        </w:rPr>
      </w:pPr>
      <w:r w:rsidRPr="00BC3824">
        <w:rPr>
          <w:rFonts w:eastAsia="標楷體"/>
        </w:rPr>
        <w:t>Reservations should be made through the online instrument reservation system of the Core Facility Center or Laboratory Animal Center 1–10 days before the experiment date.</w:t>
      </w:r>
    </w:p>
    <w:p w:rsidR="005702DD" w:rsidRPr="00BC3824" w:rsidRDefault="00F62C61" w:rsidP="005702DD">
      <w:pPr>
        <w:pStyle w:val="a3"/>
        <w:numPr>
          <w:ilvl w:val="0"/>
          <w:numId w:val="16"/>
        </w:numPr>
        <w:ind w:leftChars="0"/>
        <w:rPr>
          <w:rFonts w:eastAsia="標楷體"/>
        </w:rPr>
      </w:pPr>
      <w:r w:rsidRPr="00BC3824">
        <w:rPr>
          <w:rFonts w:eastAsia="標楷體"/>
          <w:kern w:val="0"/>
        </w:rPr>
        <w:t>Open</w:t>
      </w:r>
      <w:r w:rsidR="006E0D24" w:rsidRPr="00BC3824">
        <w:rPr>
          <w:rFonts w:eastAsia="標楷體"/>
          <w:kern w:val="0"/>
        </w:rPr>
        <w:t>ing</w:t>
      </w:r>
      <w:r w:rsidRPr="00BC3824">
        <w:rPr>
          <w:rFonts w:eastAsia="標楷體"/>
          <w:kern w:val="0"/>
        </w:rPr>
        <w:t xml:space="preserve"> hours:</w:t>
      </w:r>
    </w:p>
    <w:p w:rsidR="005702DD" w:rsidRPr="00BC3824" w:rsidRDefault="00336D31" w:rsidP="005702DD">
      <w:pPr>
        <w:pStyle w:val="a3"/>
        <w:numPr>
          <w:ilvl w:val="0"/>
          <w:numId w:val="17"/>
        </w:numPr>
        <w:ind w:leftChars="0"/>
        <w:rPr>
          <w:rFonts w:eastAsia="標楷體"/>
        </w:rPr>
      </w:pPr>
      <w:r w:rsidRPr="00BC3824">
        <w:rPr>
          <w:rFonts w:eastAsia="標楷體"/>
          <w:bCs/>
          <w:kern w:val="0"/>
        </w:rPr>
        <w:t>During school semesters: Monday to Friday 8:00–17:00.</w:t>
      </w:r>
    </w:p>
    <w:p w:rsidR="005702DD" w:rsidRPr="00BC3824" w:rsidRDefault="00336D31" w:rsidP="005702DD">
      <w:pPr>
        <w:pStyle w:val="a3"/>
        <w:numPr>
          <w:ilvl w:val="0"/>
          <w:numId w:val="17"/>
        </w:numPr>
        <w:ind w:leftChars="0"/>
        <w:rPr>
          <w:rFonts w:eastAsia="標楷體"/>
        </w:rPr>
      </w:pPr>
      <w:r w:rsidRPr="00BC3824">
        <w:rPr>
          <w:rFonts w:eastAsia="標楷體"/>
          <w:bCs/>
          <w:kern w:val="0"/>
        </w:rPr>
        <w:t xml:space="preserve">During winter </w:t>
      </w:r>
      <w:r w:rsidR="00374FCC" w:rsidRPr="00BC3824">
        <w:rPr>
          <w:rFonts w:eastAsia="標楷體"/>
          <w:bCs/>
          <w:kern w:val="0"/>
        </w:rPr>
        <w:t xml:space="preserve">and </w:t>
      </w:r>
      <w:r w:rsidRPr="00BC3824">
        <w:rPr>
          <w:rFonts w:eastAsia="標楷體"/>
          <w:bCs/>
          <w:kern w:val="0"/>
        </w:rPr>
        <w:t>summer break: Monday to Friday 8:30–</w:t>
      </w:r>
      <w:r w:rsidR="00A60995" w:rsidRPr="00BC3824">
        <w:rPr>
          <w:rFonts w:eastAsia="標楷體"/>
          <w:bCs/>
          <w:kern w:val="0"/>
        </w:rPr>
        <w:t>17:00.</w:t>
      </w:r>
    </w:p>
    <w:p w:rsidR="00A60995" w:rsidRPr="00BC3824" w:rsidRDefault="00A60995" w:rsidP="00A60995">
      <w:pPr>
        <w:pStyle w:val="a3"/>
        <w:numPr>
          <w:ilvl w:val="0"/>
          <w:numId w:val="16"/>
        </w:numPr>
        <w:ind w:leftChars="0"/>
        <w:rPr>
          <w:rFonts w:eastAsia="標楷體"/>
          <w:kern w:val="0"/>
        </w:rPr>
      </w:pPr>
      <w:r w:rsidRPr="00BC3824">
        <w:rPr>
          <w:rFonts w:eastAsia="標楷體"/>
          <w:kern w:val="0"/>
        </w:rPr>
        <w:t xml:space="preserve">During the instrument reservation </w:t>
      </w:r>
      <w:r w:rsidR="006E0D24" w:rsidRPr="00BC3824">
        <w:rPr>
          <w:rFonts w:eastAsia="標楷體"/>
          <w:kern w:val="0"/>
        </w:rPr>
        <w:t>period</w:t>
      </w:r>
      <w:r w:rsidRPr="00BC3824">
        <w:rPr>
          <w:rFonts w:eastAsia="標楷體"/>
          <w:kern w:val="0"/>
        </w:rPr>
        <w:t xml:space="preserve">, </w:t>
      </w:r>
      <w:r w:rsidR="006C051D" w:rsidRPr="00BC3824">
        <w:rPr>
          <w:rFonts w:eastAsia="標楷體"/>
          <w:kern w:val="0"/>
        </w:rPr>
        <w:t xml:space="preserve">the user </w:t>
      </w:r>
      <w:r w:rsidRPr="00BC3824">
        <w:rPr>
          <w:rFonts w:eastAsia="標楷體"/>
          <w:kern w:val="0"/>
        </w:rPr>
        <w:t xml:space="preserve">should enter and </w:t>
      </w:r>
      <w:r w:rsidR="006E0D24" w:rsidRPr="00BC3824">
        <w:rPr>
          <w:rFonts w:eastAsia="標楷體"/>
          <w:kern w:val="0"/>
        </w:rPr>
        <w:t>leave</w:t>
      </w:r>
      <w:r w:rsidRPr="00BC3824">
        <w:rPr>
          <w:rFonts w:eastAsia="標楷體"/>
          <w:kern w:val="0"/>
        </w:rPr>
        <w:t xml:space="preserve"> the lab </w:t>
      </w:r>
      <w:r w:rsidR="006E0D24" w:rsidRPr="00BC3824">
        <w:rPr>
          <w:rFonts w:eastAsia="標楷體"/>
          <w:kern w:val="0"/>
        </w:rPr>
        <w:t>at</w:t>
      </w:r>
      <w:r w:rsidRPr="00BC3824">
        <w:rPr>
          <w:rFonts w:eastAsia="標楷體"/>
          <w:kern w:val="0"/>
        </w:rPr>
        <w:t xml:space="preserve"> the </w:t>
      </w:r>
      <w:r w:rsidR="006E0D24" w:rsidRPr="00BC3824">
        <w:rPr>
          <w:rFonts w:eastAsia="標楷體"/>
          <w:kern w:val="0"/>
        </w:rPr>
        <w:t xml:space="preserve">times </w:t>
      </w:r>
      <w:r w:rsidRPr="00BC3824">
        <w:rPr>
          <w:rFonts w:eastAsia="標楷體"/>
          <w:kern w:val="0"/>
        </w:rPr>
        <w:t xml:space="preserve">registered online. </w:t>
      </w:r>
      <w:r w:rsidR="006C051D" w:rsidRPr="00BC3824">
        <w:rPr>
          <w:rFonts w:eastAsia="標楷體"/>
          <w:kern w:val="0"/>
        </w:rPr>
        <w:t>Users who</w:t>
      </w:r>
      <w:r w:rsidR="006E0D24" w:rsidRPr="00BC3824">
        <w:rPr>
          <w:rFonts w:eastAsia="標楷體"/>
          <w:kern w:val="0"/>
        </w:rPr>
        <w:t>do</w:t>
      </w:r>
      <w:r w:rsidRPr="00BC3824">
        <w:rPr>
          <w:rFonts w:eastAsia="標楷體"/>
          <w:kern w:val="0"/>
        </w:rPr>
        <w:t xml:space="preserve"> not enter the lab at the start of the registered </w:t>
      </w:r>
      <w:r w:rsidR="006E0D24" w:rsidRPr="00BC3824">
        <w:rPr>
          <w:rFonts w:eastAsia="標楷體"/>
          <w:kern w:val="0"/>
        </w:rPr>
        <w:t>period</w:t>
      </w:r>
      <w:r w:rsidRPr="00BC3824">
        <w:rPr>
          <w:rFonts w:eastAsia="標楷體"/>
          <w:kern w:val="0"/>
        </w:rPr>
        <w:t xml:space="preserve"> and fail to cancel the</w:t>
      </w:r>
      <w:r w:rsidR="006E0D24" w:rsidRPr="00BC3824">
        <w:rPr>
          <w:rFonts w:eastAsia="標楷體"/>
          <w:kern w:val="0"/>
        </w:rPr>
        <w:t>ir</w:t>
      </w:r>
      <w:r w:rsidRPr="00BC3824">
        <w:rPr>
          <w:rFonts w:eastAsia="標楷體"/>
          <w:kern w:val="0"/>
        </w:rPr>
        <w:t xml:space="preserve"> reservation are charged according to the original reservation </w:t>
      </w:r>
      <w:r w:rsidR="006E0D24" w:rsidRPr="00BC3824">
        <w:rPr>
          <w:rFonts w:eastAsia="標楷體"/>
          <w:kern w:val="0"/>
        </w:rPr>
        <w:t>period</w:t>
      </w:r>
      <w:r w:rsidRPr="00BC3824">
        <w:rPr>
          <w:rFonts w:eastAsia="標楷體"/>
          <w:kern w:val="0"/>
        </w:rPr>
        <w:t>.</w:t>
      </w:r>
    </w:p>
    <w:p w:rsidR="005702DD" w:rsidRPr="00BC3824" w:rsidRDefault="00A60995" w:rsidP="005702DD">
      <w:pPr>
        <w:pStyle w:val="a3"/>
        <w:numPr>
          <w:ilvl w:val="0"/>
          <w:numId w:val="2"/>
        </w:numPr>
        <w:ind w:leftChars="0"/>
        <w:rPr>
          <w:rFonts w:eastAsia="標楷體"/>
        </w:rPr>
      </w:pPr>
      <w:r w:rsidRPr="00BC3824">
        <w:rPr>
          <w:rFonts w:eastAsia="標楷體"/>
          <w:bCs/>
          <w:kern w:val="0"/>
        </w:rPr>
        <w:t>Instrument usage regulations are as follow</w:t>
      </w:r>
      <w:r w:rsidR="006E0D24" w:rsidRPr="00BC3824">
        <w:rPr>
          <w:rFonts w:eastAsia="標楷體"/>
          <w:bCs/>
          <w:kern w:val="0"/>
        </w:rPr>
        <w:t>s</w:t>
      </w:r>
      <w:r w:rsidRPr="00BC3824">
        <w:rPr>
          <w:rFonts w:eastAsia="標楷體"/>
          <w:bCs/>
          <w:kern w:val="0"/>
        </w:rPr>
        <w:t>:</w:t>
      </w:r>
    </w:p>
    <w:p w:rsidR="005702DD" w:rsidRPr="00BC3824" w:rsidRDefault="00A60995" w:rsidP="005702DD">
      <w:pPr>
        <w:pStyle w:val="a3"/>
        <w:numPr>
          <w:ilvl w:val="0"/>
          <w:numId w:val="18"/>
        </w:numPr>
        <w:ind w:leftChars="0"/>
        <w:rPr>
          <w:rFonts w:eastAsia="標楷體"/>
        </w:rPr>
      </w:pPr>
      <w:r w:rsidRPr="00BC3824">
        <w:rPr>
          <w:rFonts w:eastAsia="標楷體"/>
        </w:rPr>
        <w:t>Eating, drinking, smoking, and preserving food are prohibited in the lab.</w:t>
      </w:r>
    </w:p>
    <w:p w:rsidR="005702DD" w:rsidRPr="00BC3824" w:rsidRDefault="00A60995" w:rsidP="00A60995">
      <w:pPr>
        <w:pStyle w:val="a3"/>
        <w:numPr>
          <w:ilvl w:val="0"/>
          <w:numId w:val="18"/>
        </w:numPr>
        <w:ind w:leftChars="0"/>
        <w:rPr>
          <w:rFonts w:eastAsia="標楷體"/>
          <w:spacing w:val="15"/>
          <w:kern w:val="0"/>
        </w:rPr>
      </w:pPr>
      <w:r w:rsidRPr="00BC3824">
        <w:rPr>
          <w:rFonts w:eastAsia="標楷體"/>
          <w:spacing w:val="15"/>
          <w:kern w:val="0"/>
        </w:rPr>
        <w:t>Users are prohibited from using computers while wearing gloves.</w:t>
      </w:r>
    </w:p>
    <w:p w:rsidR="001A55B0" w:rsidRPr="00BC3824" w:rsidRDefault="00A60995" w:rsidP="001A55B0">
      <w:pPr>
        <w:pStyle w:val="a3"/>
        <w:numPr>
          <w:ilvl w:val="0"/>
          <w:numId w:val="18"/>
        </w:numPr>
        <w:ind w:leftChars="0"/>
        <w:rPr>
          <w:rFonts w:eastAsia="標楷體"/>
        </w:rPr>
      </w:pPr>
      <w:r w:rsidRPr="00BC3824">
        <w:rPr>
          <w:rFonts w:eastAsia="標楷體"/>
          <w:kern w:val="0"/>
        </w:rPr>
        <w:t xml:space="preserve">Users should prepare CD-R disks </w:t>
      </w:r>
      <w:r w:rsidR="003D6A28" w:rsidRPr="00BC3824">
        <w:rPr>
          <w:rFonts w:eastAsia="標楷體"/>
          <w:kern w:val="0"/>
        </w:rPr>
        <w:t>for</w:t>
      </w:r>
      <w:r w:rsidRPr="00BC3824">
        <w:rPr>
          <w:rFonts w:eastAsia="標楷體"/>
          <w:kern w:val="0"/>
        </w:rPr>
        <w:t xml:space="preserve"> sav</w:t>
      </w:r>
      <w:r w:rsidR="003D6A28" w:rsidRPr="00BC3824">
        <w:rPr>
          <w:rFonts w:eastAsia="標楷體"/>
          <w:kern w:val="0"/>
        </w:rPr>
        <w:t>ing</w:t>
      </w:r>
      <w:r w:rsidRPr="00BC3824">
        <w:rPr>
          <w:rFonts w:eastAsia="標楷體"/>
          <w:kern w:val="0"/>
        </w:rPr>
        <w:t xml:space="preserve"> necessary data. USBs and </w:t>
      </w:r>
      <w:r w:rsidR="00C77D2F" w:rsidRPr="00BC3824">
        <w:rPr>
          <w:rFonts w:eastAsia="標楷體"/>
          <w:kern w:val="0"/>
        </w:rPr>
        <w:t>floppy disks are prohibited.</w:t>
      </w:r>
    </w:p>
    <w:p w:rsidR="005702DD" w:rsidRPr="00BC3824" w:rsidRDefault="00B658A6" w:rsidP="005702DD">
      <w:pPr>
        <w:pStyle w:val="a3"/>
        <w:numPr>
          <w:ilvl w:val="0"/>
          <w:numId w:val="18"/>
        </w:numPr>
        <w:ind w:leftChars="0"/>
        <w:rPr>
          <w:rFonts w:eastAsia="標楷體"/>
        </w:rPr>
      </w:pPr>
      <w:r w:rsidRPr="00BC3824">
        <w:rPr>
          <w:rFonts w:eastAsia="標楷體"/>
          <w:kern w:val="0"/>
        </w:rPr>
        <w:t xml:space="preserve">Users </w:t>
      </w:r>
      <w:r w:rsidR="003D6A28" w:rsidRPr="00BC3824">
        <w:rPr>
          <w:rFonts w:eastAsia="標楷體"/>
          <w:kern w:val="0"/>
        </w:rPr>
        <w:t>must</w:t>
      </w:r>
      <w:r w:rsidRPr="00BC3824">
        <w:rPr>
          <w:rFonts w:eastAsia="標楷體"/>
          <w:kern w:val="0"/>
        </w:rPr>
        <w:t xml:space="preserve"> follow the standard operation process when turning the instrument on and off. After using the instrument, </w:t>
      </w:r>
      <w:r w:rsidR="003D6A28" w:rsidRPr="00BC3824">
        <w:rPr>
          <w:rFonts w:eastAsia="標楷體"/>
          <w:kern w:val="0"/>
        </w:rPr>
        <w:t xml:space="preserve">the </w:t>
      </w:r>
      <w:r w:rsidRPr="00BC3824">
        <w:rPr>
          <w:rFonts w:eastAsia="標楷體"/>
          <w:kern w:val="0"/>
        </w:rPr>
        <w:t>user should clean the instrument and operation platform and remove experiment</w:t>
      </w:r>
      <w:r w:rsidR="003D6A28" w:rsidRPr="00BC3824">
        <w:rPr>
          <w:rFonts w:eastAsia="標楷體"/>
          <w:kern w:val="0"/>
        </w:rPr>
        <w:t>al</w:t>
      </w:r>
      <w:r w:rsidRPr="00BC3824">
        <w:rPr>
          <w:rFonts w:eastAsia="標楷體"/>
          <w:kern w:val="0"/>
        </w:rPr>
        <w:t xml:space="preserve"> waste. </w:t>
      </w:r>
      <w:r w:rsidR="003D6A28" w:rsidRPr="00BC3824">
        <w:rPr>
          <w:rFonts w:eastAsia="標楷體"/>
          <w:kern w:val="0"/>
        </w:rPr>
        <w:t>V</w:t>
      </w:r>
      <w:r w:rsidRPr="00BC3824">
        <w:rPr>
          <w:rFonts w:eastAsia="標楷體"/>
          <w:kern w:val="0"/>
        </w:rPr>
        <w:t>iolat</w:t>
      </w:r>
      <w:r w:rsidR="003D6A28" w:rsidRPr="00BC3824">
        <w:rPr>
          <w:rFonts w:eastAsia="標楷體"/>
          <w:kern w:val="0"/>
        </w:rPr>
        <w:t>ions of</w:t>
      </w:r>
      <w:r w:rsidRPr="00BC3824">
        <w:rPr>
          <w:rFonts w:eastAsia="標楷體"/>
          <w:kern w:val="0"/>
        </w:rPr>
        <w:t xml:space="preserve"> th</w:t>
      </w:r>
      <w:r w:rsidR="003D6A28" w:rsidRPr="00BC3824">
        <w:rPr>
          <w:rFonts w:eastAsia="標楷體"/>
          <w:kern w:val="0"/>
        </w:rPr>
        <w:t>is</w:t>
      </w:r>
      <w:r w:rsidRPr="00BC3824">
        <w:rPr>
          <w:rFonts w:eastAsia="標楷體"/>
          <w:kern w:val="0"/>
        </w:rPr>
        <w:t xml:space="preserve"> regulation will be evaluated by the Laboratory Animal Center</w:t>
      </w:r>
      <w:r w:rsidR="00B67A78" w:rsidRPr="00BC3824">
        <w:rPr>
          <w:rFonts w:eastAsia="標楷體"/>
          <w:kern w:val="0"/>
        </w:rPr>
        <w:t xml:space="preserve">; </w:t>
      </w:r>
      <w:r w:rsidR="003D6A28" w:rsidRPr="00BC3824">
        <w:rPr>
          <w:rFonts w:eastAsia="標楷體"/>
        </w:rPr>
        <w:t xml:space="preserve">individuals </w:t>
      </w:r>
      <w:r w:rsidRPr="00BC3824">
        <w:rPr>
          <w:rFonts w:eastAsia="標楷體"/>
          <w:kern w:val="0"/>
        </w:rPr>
        <w:t xml:space="preserve">confirmed to have violated the regulation will be </w:t>
      </w:r>
      <w:r w:rsidR="003D6A28" w:rsidRPr="00BC3824">
        <w:rPr>
          <w:rFonts w:eastAsia="標楷體"/>
          <w:kern w:val="0"/>
        </w:rPr>
        <w:t xml:space="preserve">banned </w:t>
      </w:r>
      <w:r w:rsidRPr="00BC3824">
        <w:rPr>
          <w:rFonts w:eastAsia="標楷體"/>
          <w:kern w:val="0"/>
        </w:rPr>
        <w:t xml:space="preserve">from using all instruments for one month </w:t>
      </w:r>
      <w:r w:rsidR="003D6A28" w:rsidRPr="00BC3824">
        <w:rPr>
          <w:rFonts w:eastAsia="標楷體"/>
          <w:kern w:val="0"/>
        </w:rPr>
        <w:t>starting from</w:t>
      </w:r>
      <w:r w:rsidRPr="00BC3824">
        <w:rPr>
          <w:rFonts w:eastAsia="標楷體"/>
          <w:kern w:val="0"/>
        </w:rPr>
        <w:t xml:space="preserve"> the date of notice.</w:t>
      </w:r>
    </w:p>
    <w:p w:rsidR="00C77D2F" w:rsidRPr="003F6D1E" w:rsidRDefault="00C77D2F" w:rsidP="003F6D1E">
      <w:pPr>
        <w:pStyle w:val="a3"/>
        <w:numPr>
          <w:ilvl w:val="0"/>
          <w:numId w:val="18"/>
        </w:numPr>
        <w:ind w:leftChars="0"/>
        <w:rPr>
          <w:rFonts w:eastAsia="標楷體"/>
          <w:spacing w:val="15"/>
          <w:kern w:val="0"/>
        </w:rPr>
      </w:pPr>
      <w:r w:rsidRPr="003F6D1E">
        <w:rPr>
          <w:rFonts w:eastAsia="標楷體"/>
          <w:spacing w:val="15"/>
          <w:kern w:val="0"/>
        </w:rPr>
        <w:t xml:space="preserve">Upon the occurrence of </w:t>
      </w:r>
      <w:r w:rsidR="003D6A28" w:rsidRPr="003F6D1E">
        <w:rPr>
          <w:rFonts w:eastAsia="標楷體"/>
          <w:spacing w:val="15"/>
          <w:kern w:val="0"/>
        </w:rPr>
        <w:t xml:space="preserve">a </w:t>
      </w:r>
      <w:r w:rsidRPr="003F6D1E">
        <w:rPr>
          <w:rFonts w:eastAsia="標楷體"/>
          <w:spacing w:val="15"/>
          <w:kern w:val="0"/>
        </w:rPr>
        <w:t xml:space="preserve">lab instrument malfunction, </w:t>
      </w:r>
      <w:r w:rsidR="003D6A28" w:rsidRPr="003F6D1E">
        <w:rPr>
          <w:rFonts w:eastAsia="標楷體"/>
          <w:spacing w:val="15"/>
          <w:kern w:val="0"/>
        </w:rPr>
        <w:t xml:space="preserve">the </w:t>
      </w:r>
      <w:r w:rsidRPr="003F6D1E">
        <w:rPr>
          <w:rFonts w:eastAsia="標楷體"/>
          <w:spacing w:val="15"/>
          <w:kern w:val="0"/>
        </w:rPr>
        <w:t xml:space="preserve">user should quickly report the malfunction to the manager. </w:t>
      </w:r>
      <w:r w:rsidR="003D6A28" w:rsidRPr="003F6D1E">
        <w:rPr>
          <w:rFonts w:eastAsia="標楷體"/>
          <w:spacing w:val="15"/>
          <w:kern w:val="0"/>
        </w:rPr>
        <w:t>U</w:t>
      </w:r>
      <w:r w:rsidRPr="003F6D1E">
        <w:rPr>
          <w:rFonts w:eastAsia="標楷體"/>
          <w:spacing w:val="15"/>
          <w:kern w:val="0"/>
        </w:rPr>
        <w:t xml:space="preserve">sers </w:t>
      </w:r>
      <w:r w:rsidRPr="003F6D1E">
        <w:rPr>
          <w:rFonts w:eastAsia="標楷體"/>
          <w:spacing w:val="15"/>
          <w:kern w:val="0"/>
        </w:rPr>
        <w:lastRenderedPageBreak/>
        <w:t>are prohibited from taking apart the instruments themselves. Users that cause instrument damage will be held responsible for the cost</w:t>
      </w:r>
      <w:r w:rsidR="00864D76" w:rsidRPr="003F6D1E">
        <w:rPr>
          <w:rFonts w:eastAsia="標楷體"/>
          <w:spacing w:val="15"/>
          <w:kern w:val="0"/>
        </w:rPr>
        <w:t xml:space="preserve"> of repair</w:t>
      </w:r>
      <w:r w:rsidRPr="003F6D1E">
        <w:rPr>
          <w:rFonts w:eastAsia="標楷體"/>
          <w:spacing w:val="15"/>
          <w:kern w:val="0"/>
        </w:rPr>
        <w:t>.</w:t>
      </w:r>
    </w:p>
    <w:p w:rsidR="003109C8" w:rsidRPr="003F6D1E" w:rsidRDefault="00C77D2F" w:rsidP="005702DD">
      <w:pPr>
        <w:pStyle w:val="a3"/>
        <w:numPr>
          <w:ilvl w:val="0"/>
          <w:numId w:val="18"/>
        </w:numPr>
        <w:ind w:leftChars="0"/>
        <w:rPr>
          <w:rFonts w:eastAsia="標楷體"/>
          <w:spacing w:val="15"/>
          <w:kern w:val="0"/>
        </w:rPr>
      </w:pPr>
      <w:r w:rsidRPr="00BC3824">
        <w:rPr>
          <w:rFonts w:eastAsia="標楷體"/>
          <w:spacing w:val="15"/>
          <w:kern w:val="0"/>
        </w:rPr>
        <w:t>The instrume</w:t>
      </w:r>
      <w:r w:rsidRPr="003F6D1E">
        <w:rPr>
          <w:rFonts w:eastAsia="標楷體"/>
          <w:spacing w:val="15"/>
          <w:kern w:val="0"/>
        </w:rPr>
        <w:t xml:space="preserve">nt usage payment standard only covers the basic material costs and does not include instrument purchase and maintenance costs. Users should </w:t>
      </w:r>
      <w:r w:rsidR="00864D76" w:rsidRPr="003F6D1E">
        <w:rPr>
          <w:rFonts w:eastAsia="標楷體"/>
          <w:spacing w:val="15"/>
          <w:kern w:val="0"/>
        </w:rPr>
        <w:t>en</w:t>
      </w:r>
      <w:r w:rsidRPr="003F6D1E">
        <w:rPr>
          <w:rFonts w:eastAsia="標楷體"/>
          <w:spacing w:val="15"/>
          <w:kern w:val="0"/>
        </w:rPr>
        <w:t>sure that the</w:t>
      </w:r>
      <w:r w:rsidR="00864D76" w:rsidRPr="003F6D1E">
        <w:rPr>
          <w:rFonts w:eastAsia="標楷體"/>
          <w:spacing w:val="15"/>
          <w:kern w:val="0"/>
        </w:rPr>
        <w:t>ir</w:t>
      </w:r>
      <w:r w:rsidRPr="003F6D1E">
        <w:rPr>
          <w:rFonts w:eastAsia="標楷體"/>
          <w:spacing w:val="15"/>
          <w:kern w:val="0"/>
        </w:rPr>
        <w:t xml:space="preserve"> sample is well prepared before instrument usage. If the experiment yields unsatisfying results that are not </w:t>
      </w:r>
      <w:r w:rsidR="00864D76" w:rsidRPr="003F6D1E">
        <w:rPr>
          <w:rFonts w:eastAsia="標楷體"/>
          <w:spacing w:val="15"/>
          <w:kern w:val="0"/>
        </w:rPr>
        <w:t xml:space="preserve">the result ofan </w:t>
      </w:r>
      <w:r w:rsidRPr="003F6D1E">
        <w:rPr>
          <w:rFonts w:eastAsia="標楷體"/>
          <w:spacing w:val="15"/>
          <w:kern w:val="0"/>
        </w:rPr>
        <w:t>instrument malfunction, the user is still required to pay the original instrument usage payment.</w:t>
      </w:r>
    </w:p>
    <w:p w:rsidR="001D0DC8" w:rsidRPr="003F6D1E" w:rsidRDefault="00222ED6" w:rsidP="00C2548B">
      <w:pPr>
        <w:pStyle w:val="a3"/>
        <w:numPr>
          <w:ilvl w:val="0"/>
          <w:numId w:val="18"/>
        </w:numPr>
        <w:ind w:leftChars="0"/>
        <w:rPr>
          <w:rFonts w:eastAsia="標楷體"/>
          <w:spacing w:val="15"/>
          <w:kern w:val="0"/>
        </w:rPr>
      </w:pPr>
      <w:r w:rsidRPr="003F6D1E">
        <w:rPr>
          <w:rFonts w:eastAsia="標楷體"/>
          <w:spacing w:val="15"/>
          <w:kern w:val="0"/>
        </w:rPr>
        <w:t xml:space="preserve">If the </w:t>
      </w:r>
      <w:r w:rsidR="00EA171F" w:rsidRPr="003F6D1E">
        <w:rPr>
          <w:rFonts w:eastAsia="標楷體"/>
          <w:spacing w:val="15"/>
          <w:kern w:val="0"/>
        </w:rPr>
        <w:t xml:space="preserve">Laboratory </w:t>
      </w:r>
      <w:r w:rsidRPr="003F6D1E">
        <w:rPr>
          <w:rFonts w:eastAsia="標楷體"/>
          <w:spacing w:val="15"/>
          <w:kern w:val="0"/>
        </w:rPr>
        <w:t xml:space="preserve">Animal Center confirms that </w:t>
      </w:r>
      <w:r w:rsidR="00864D76" w:rsidRPr="003F6D1E">
        <w:rPr>
          <w:rFonts w:eastAsia="標楷體"/>
          <w:spacing w:val="15"/>
          <w:kern w:val="0"/>
        </w:rPr>
        <w:t>a</w:t>
      </w:r>
      <w:r w:rsidRPr="003F6D1E">
        <w:rPr>
          <w:rFonts w:eastAsia="標楷體"/>
          <w:spacing w:val="15"/>
          <w:kern w:val="0"/>
        </w:rPr>
        <w:t xml:space="preserve"> user has violated the aforementioned or other regulations, the user’s usage right and entrance right </w:t>
      </w:r>
      <w:r w:rsidR="00864D76" w:rsidRPr="003F6D1E">
        <w:rPr>
          <w:rFonts w:eastAsia="標楷體"/>
          <w:spacing w:val="15"/>
          <w:kern w:val="0"/>
        </w:rPr>
        <w:t>regarding</w:t>
      </w:r>
      <w:r w:rsidRPr="003F6D1E">
        <w:rPr>
          <w:rFonts w:eastAsia="標楷體"/>
          <w:spacing w:val="15"/>
          <w:kern w:val="0"/>
        </w:rPr>
        <w:t xml:space="preserve"> all instruments and </w:t>
      </w:r>
      <w:r w:rsidR="00864D76" w:rsidRPr="003F6D1E">
        <w:rPr>
          <w:rFonts w:eastAsia="標楷體"/>
          <w:spacing w:val="15"/>
          <w:kern w:val="0"/>
        </w:rPr>
        <w:t xml:space="preserve">the </w:t>
      </w:r>
      <w:r w:rsidR="00C2548B" w:rsidRPr="003F6D1E">
        <w:rPr>
          <w:rFonts w:eastAsia="標楷體"/>
          <w:spacing w:val="15"/>
          <w:kern w:val="0"/>
        </w:rPr>
        <w:t>animal housing, respectively, will be terminated from the start of the notice date.</w:t>
      </w:r>
    </w:p>
    <w:p w:rsidR="00257EBE" w:rsidRPr="003F6D1E" w:rsidRDefault="00257EBE" w:rsidP="006342DE">
      <w:pPr>
        <w:rPr>
          <w:rFonts w:eastAsia="標楷體"/>
          <w:spacing w:val="15"/>
          <w:kern w:val="0"/>
        </w:rPr>
      </w:pPr>
    </w:p>
    <w:p w:rsidR="005702DD" w:rsidRPr="003F6D1E" w:rsidRDefault="00D3217F" w:rsidP="00877279">
      <w:pPr>
        <w:pStyle w:val="a3"/>
        <w:numPr>
          <w:ilvl w:val="0"/>
          <w:numId w:val="2"/>
        </w:numPr>
        <w:adjustRightInd w:val="0"/>
        <w:snapToGrid w:val="0"/>
        <w:spacing w:beforeLines="50" w:afterLines="50"/>
        <w:ind w:leftChars="0"/>
        <w:rPr>
          <w:rFonts w:eastAsia="標楷體"/>
        </w:rPr>
      </w:pPr>
      <w:r w:rsidRPr="005937C1">
        <w:rPr>
          <w:rFonts w:eastAsia="標楷體"/>
        </w:rPr>
        <w:t xml:space="preserve">The instrument usage cost standard </w:t>
      </w:r>
      <w:r w:rsidR="00864D76" w:rsidRPr="005937C1">
        <w:rPr>
          <w:rFonts w:eastAsia="標楷體"/>
        </w:rPr>
        <w:t>has been</w:t>
      </w:r>
      <w:r w:rsidRPr="003F6D1E">
        <w:rPr>
          <w:rFonts w:eastAsia="標楷體"/>
        </w:rPr>
        <w:t xml:space="preserve">established to ensure optimal service quality and </w:t>
      </w:r>
      <w:r w:rsidR="00864D76" w:rsidRPr="003F6D1E">
        <w:rPr>
          <w:rFonts w:eastAsia="標楷體"/>
        </w:rPr>
        <w:t xml:space="preserve">to </w:t>
      </w:r>
      <w:r w:rsidRPr="003F6D1E">
        <w:rPr>
          <w:rFonts w:eastAsia="標楷體"/>
        </w:rPr>
        <w:t>increase the effective service year</w:t>
      </w:r>
      <w:r w:rsidR="00864D76" w:rsidRPr="003F6D1E">
        <w:rPr>
          <w:rFonts w:eastAsia="標楷體"/>
        </w:rPr>
        <w:t>s</w:t>
      </w:r>
      <w:r w:rsidRPr="003F6D1E">
        <w:rPr>
          <w:rFonts w:eastAsia="標楷體"/>
        </w:rPr>
        <w:t xml:space="preserve"> of each instrument. </w:t>
      </w:r>
      <w:r w:rsidR="00917AA5" w:rsidRPr="003F6D1E">
        <w:rPr>
          <w:rFonts w:eastAsia="標楷體"/>
        </w:rPr>
        <w:t>Based on the d</w:t>
      </w:r>
      <w:r w:rsidRPr="003F6D1E">
        <w:rPr>
          <w:rFonts w:eastAsia="標楷體"/>
        </w:rPr>
        <w:t>iscussion of the Office of Research and Development</w:t>
      </w:r>
      <w:r w:rsidR="00917AA5" w:rsidRPr="003F6D1E">
        <w:rPr>
          <w:rFonts w:eastAsia="標楷體"/>
        </w:rPr>
        <w:t xml:space="preserve">, </w:t>
      </w:r>
      <w:r w:rsidRPr="003F6D1E">
        <w:rPr>
          <w:rFonts w:eastAsia="標楷體"/>
        </w:rPr>
        <w:t xml:space="preserve">personnel or research units that use the instruments </w:t>
      </w:r>
      <w:r w:rsidR="008819E7" w:rsidRPr="003F6D1E">
        <w:rPr>
          <w:rFonts w:eastAsia="標楷體"/>
        </w:rPr>
        <w:t>must</w:t>
      </w:r>
      <w:r w:rsidRPr="003F6D1E">
        <w:rPr>
          <w:rFonts w:eastAsia="標楷體"/>
        </w:rPr>
        <w:t xml:space="preserve"> share the </w:t>
      </w:r>
      <w:r w:rsidR="00864D76" w:rsidRPr="003F6D1E">
        <w:rPr>
          <w:rFonts w:eastAsia="標楷體"/>
        </w:rPr>
        <w:t xml:space="preserve">expenses related to </w:t>
      </w:r>
      <w:r w:rsidRPr="003F6D1E">
        <w:rPr>
          <w:rFonts w:eastAsia="標楷體"/>
        </w:rPr>
        <w:t>instrument consumables, maintenance, and operating personnel service.</w:t>
      </w:r>
    </w:p>
    <w:p w:rsidR="00257EBE" w:rsidRPr="003F6D1E" w:rsidRDefault="00257EBE" w:rsidP="00257EBE">
      <w:pPr>
        <w:pStyle w:val="a3"/>
        <w:numPr>
          <w:ilvl w:val="0"/>
          <w:numId w:val="19"/>
        </w:numPr>
        <w:ind w:leftChars="0"/>
        <w:rPr>
          <w:rFonts w:eastAsia="標楷體"/>
          <w:spacing w:val="15"/>
          <w:kern w:val="0"/>
        </w:rPr>
      </w:pPr>
      <w:r w:rsidRPr="003F6D1E">
        <w:rPr>
          <w:rFonts w:eastAsia="標楷體"/>
        </w:rPr>
        <w:t>Usage payment standard for TMU personnel: NT$</w:t>
      </w:r>
      <w:r w:rsidR="000F11D5" w:rsidRPr="003F6D1E">
        <w:rPr>
          <w:rFonts w:eastAsia="標楷體"/>
        </w:rPr>
        <w:t>1</w:t>
      </w:r>
      <w:r w:rsidR="00C11E14" w:rsidRPr="003F6D1E">
        <w:rPr>
          <w:rFonts w:eastAsia="標楷體"/>
        </w:rPr>
        <w:t>0</w:t>
      </w:r>
      <w:r w:rsidR="003109C8" w:rsidRPr="003F6D1E">
        <w:rPr>
          <w:rFonts w:eastAsia="標楷體"/>
        </w:rPr>
        <w:t>0</w:t>
      </w:r>
      <w:r w:rsidRPr="003F6D1E">
        <w:rPr>
          <w:rFonts w:eastAsia="標楷體"/>
        </w:rPr>
        <w:t xml:space="preserve"> per hour</w:t>
      </w:r>
    </w:p>
    <w:p w:rsidR="003109C8" w:rsidRPr="003F6D1E" w:rsidRDefault="00257EBE" w:rsidP="00257EBE">
      <w:pPr>
        <w:pStyle w:val="a3"/>
        <w:numPr>
          <w:ilvl w:val="0"/>
          <w:numId w:val="19"/>
        </w:numPr>
        <w:ind w:leftChars="0"/>
        <w:rPr>
          <w:rFonts w:eastAsia="標楷體"/>
          <w:spacing w:val="15"/>
          <w:kern w:val="0"/>
        </w:rPr>
      </w:pPr>
      <w:r w:rsidRPr="003F6D1E">
        <w:rPr>
          <w:rFonts w:eastAsia="標楷體"/>
          <w:spacing w:val="15"/>
          <w:kern w:val="0"/>
        </w:rPr>
        <w:t xml:space="preserve">Usage payment method: According to the TMU Laboratory Animal Center Instrument Service Usage Payment Notice Regulation, </w:t>
      </w:r>
      <w:r w:rsidR="00864D76" w:rsidRPr="003F6D1E">
        <w:rPr>
          <w:rFonts w:eastAsia="標楷體"/>
          <w:spacing w:val="15"/>
          <w:kern w:val="0"/>
        </w:rPr>
        <w:t xml:space="preserve">a user </w:t>
      </w:r>
      <w:r w:rsidR="00037A1E" w:rsidRPr="003F6D1E">
        <w:rPr>
          <w:rFonts w:eastAsia="標楷體"/>
          <w:spacing w:val="15"/>
          <w:kern w:val="0"/>
        </w:rPr>
        <w:t xml:space="preserve">who </w:t>
      </w:r>
      <w:r w:rsidRPr="003F6D1E">
        <w:rPr>
          <w:rFonts w:eastAsia="標楷體"/>
          <w:spacing w:val="15"/>
          <w:kern w:val="0"/>
        </w:rPr>
        <w:t>choose</w:t>
      </w:r>
      <w:r w:rsidR="00864D76" w:rsidRPr="003F6D1E">
        <w:rPr>
          <w:rFonts w:eastAsia="標楷體"/>
          <w:spacing w:val="15"/>
          <w:kern w:val="0"/>
        </w:rPr>
        <w:t>s</w:t>
      </w:r>
      <w:r w:rsidRPr="003F6D1E">
        <w:rPr>
          <w:rFonts w:eastAsia="標楷體"/>
          <w:spacing w:val="15"/>
          <w:kern w:val="0"/>
        </w:rPr>
        <w:t xml:space="preserve"> to pay in cash should obtain the payment notice from the </w:t>
      </w:r>
      <w:r w:rsidR="005720A0">
        <w:rPr>
          <w:rFonts w:eastAsia="標楷體" w:hint="eastAsia"/>
          <w:spacing w:val="15"/>
          <w:kern w:val="0"/>
        </w:rPr>
        <w:t>administrator</w:t>
      </w:r>
      <w:r w:rsidRPr="003F6D1E">
        <w:rPr>
          <w:rFonts w:eastAsia="標楷體"/>
          <w:spacing w:val="15"/>
          <w:kern w:val="0"/>
        </w:rPr>
        <w:t xml:space="preserve"> after using the instrument and pay at the school cashiers section. After completing the payment, the </w:t>
      </w:r>
      <w:r w:rsidR="00864D76" w:rsidRPr="003F6D1E">
        <w:rPr>
          <w:rFonts w:eastAsia="標楷體"/>
          <w:spacing w:val="15"/>
          <w:kern w:val="0"/>
        </w:rPr>
        <w:t>user</w:t>
      </w:r>
      <w:r w:rsidRPr="003F6D1E">
        <w:rPr>
          <w:rFonts w:eastAsia="標楷體"/>
          <w:spacing w:val="15"/>
          <w:kern w:val="0"/>
        </w:rPr>
        <w:t xml:space="preserve"> should keep the payment receipt to receive the experiment data and related information. </w:t>
      </w:r>
      <w:r w:rsidR="00864D76" w:rsidRPr="003F6D1E">
        <w:rPr>
          <w:rFonts w:eastAsia="標楷體"/>
          <w:spacing w:val="15"/>
          <w:kern w:val="0"/>
        </w:rPr>
        <w:t>Userswho</w:t>
      </w:r>
      <w:r w:rsidRPr="003F6D1E">
        <w:rPr>
          <w:rFonts w:eastAsia="標楷體"/>
          <w:spacing w:val="15"/>
          <w:kern w:val="0"/>
        </w:rPr>
        <w:t xml:space="preserve"> are supported by research projects or are paying through TMU budget write-offs should complete the reporting and write-off process within </w:t>
      </w:r>
      <w:r w:rsidR="00864D76" w:rsidRPr="003F6D1E">
        <w:rPr>
          <w:rFonts w:eastAsia="標楷體"/>
          <w:spacing w:val="15"/>
          <w:kern w:val="0"/>
        </w:rPr>
        <w:t xml:space="preserve">the </w:t>
      </w:r>
      <w:r w:rsidRPr="003F6D1E">
        <w:rPr>
          <w:rFonts w:eastAsia="標楷體"/>
          <w:spacing w:val="15"/>
          <w:kern w:val="0"/>
        </w:rPr>
        <w:t>one month after using the instrument.</w:t>
      </w:r>
    </w:p>
    <w:p w:rsidR="003109C8" w:rsidRPr="005937C1" w:rsidRDefault="00257EBE" w:rsidP="003109C8">
      <w:pPr>
        <w:pStyle w:val="a3"/>
        <w:numPr>
          <w:ilvl w:val="0"/>
          <w:numId w:val="2"/>
        </w:numPr>
        <w:ind w:leftChars="0" w:left="993" w:hanging="993"/>
        <w:rPr>
          <w:rFonts w:eastAsia="標楷體"/>
        </w:rPr>
      </w:pPr>
      <w:r w:rsidRPr="005937C1">
        <w:rPr>
          <w:rFonts w:eastAsia="標楷體"/>
        </w:rPr>
        <w:t>Instrument contact personnel:</w:t>
      </w:r>
    </w:p>
    <w:p w:rsidR="003109C8" w:rsidRPr="003F6D1E" w:rsidRDefault="00E66D2A" w:rsidP="003109C8">
      <w:pPr>
        <w:pStyle w:val="a3"/>
        <w:ind w:leftChars="0" w:left="993"/>
        <w:rPr>
          <w:rFonts w:eastAsia="標楷體"/>
        </w:rPr>
      </w:pPr>
      <w:r w:rsidRPr="003F6D1E">
        <w:rPr>
          <w:rFonts w:eastAsia="標楷體"/>
        </w:rPr>
        <w:t>Advisor professor:</w:t>
      </w:r>
      <w:r w:rsidR="00257EBE" w:rsidRPr="003F6D1E">
        <w:rPr>
          <w:rFonts w:eastAsia="標楷體"/>
        </w:rPr>
        <w:t xml:space="preserve"> Teacher Yang Chih-Hao</w:t>
      </w:r>
      <w:r w:rsidR="00257EBE" w:rsidRPr="003F6D1E">
        <w:rPr>
          <w:rFonts w:eastAsia="標楷體"/>
          <w:spacing w:val="15"/>
          <w:kern w:val="0"/>
        </w:rPr>
        <w:t>2</w:t>
      </w:r>
      <w:r w:rsidR="00257EBE" w:rsidRPr="005937C1">
        <w:rPr>
          <w:rFonts w:eastAsia="標楷體"/>
          <w:spacing w:val="15"/>
          <w:kern w:val="0"/>
        </w:rPr>
        <w:t>7361661#</w:t>
      </w:r>
      <w:r w:rsidR="003109C8" w:rsidRPr="005937C1">
        <w:rPr>
          <w:rFonts w:eastAsia="標楷體"/>
        </w:rPr>
        <w:t>3197</w:t>
      </w:r>
    </w:p>
    <w:p w:rsidR="003109C8" w:rsidRPr="003F6D1E" w:rsidRDefault="00E66D2A" w:rsidP="003109C8">
      <w:pPr>
        <w:pStyle w:val="a3"/>
        <w:ind w:leftChars="0" w:left="993"/>
        <w:rPr>
          <w:rFonts w:eastAsia="標楷體"/>
        </w:rPr>
      </w:pPr>
      <w:r w:rsidRPr="003F6D1E">
        <w:rPr>
          <w:rFonts w:eastAsia="標楷體"/>
        </w:rPr>
        <w:t>Laboratory Animal Center technician: Wang Chueh-Yi</w:t>
      </w:r>
      <w:r w:rsidR="00257EBE" w:rsidRPr="003F6D1E">
        <w:rPr>
          <w:rFonts w:eastAsia="標楷體"/>
          <w:spacing w:val="15"/>
          <w:kern w:val="0"/>
        </w:rPr>
        <w:t>27361661#</w:t>
      </w:r>
      <w:r w:rsidR="003109C8" w:rsidRPr="003F6D1E">
        <w:rPr>
          <w:rFonts w:eastAsia="標楷體"/>
        </w:rPr>
        <w:t xml:space="preserve"> 7153</w:t>
      </w:r>
    </w:p>
    <w:p w:rsidR="00E71419" w:rsidRPr="003F6D1E" w:rsidRDefault="00257EBE" w:rsidP="003109C8">
      <w:pPr>
        <w:pStyle w:val="a3"/>
        <w:ind w:leftChars="0" w:left="993"/>
        <w:rPr>
          <w:rFonts w:eastAsia="標楷體"/>
        </w:rPr>
      </w:pPr>
      <w:r w:rsidRPr="003F6D1E">
        <w:rPr>
          <w:rFonts w:eastAsia="標楷體"/>
        </w:rPr>
        <w:t xml:space="preserve">Laboratory Animal Center technician: </w:t>
      </w:r>
      <w:r w:rsidRPr="003F6D1E">
        <w:rPr>
          <w:rFonts w:eastAsia="標楷體"/>
          <w:spacing w:val="15"/>
          <w:kern w:val="0"/>
        </w:rPr>
        <w:t>Wu Wen-Chi 2</w:t>
      </w:r>
      <w:r w:rsidRPr="005937C1">
        <w:rPr>
          <w:rFonts w:eastAsia="標楷體"/>
          <w:spacing w:val="15"/>
          <w:kern w:val="0"/>
        </w:rPr>
        <w:t>7361661#</w:t>
      </w:r>
      <w:r w:rsidR="00E71419" w:rsidRPr="005937C1">
        <w:rPr>
          <w:rFonts w:eastAsia="標楷體"/>
        </w:rPr>
        <w:t>7515</w:t>
      </w:r>
    </w:p>
    <w:p w:rsidR="003109C8" w:rsidRPr="003F6D1E" w:rsidRDefault="00257EBE" w:rsidP="00257EBE">
      <w:pPr>
        <w:pStyle w:val="a3"/>
        <w:numPr>
          <w:ilvl w:val="0"/>
          <w:numId w:val="2"/>
        </w:numPr>
        <w:ind w:leftChars="0"/>
        <w:rPr>
          <w:rFonts w:eastAsia="標楷體"/>
        </w:rPr>
      </w:pPr>
      <w:r w:rsidRPr="003F6D1E">
        <w:rPr>
          <w:rFonts w:eastAsia="標楷體"/>
        </w:rPr>
        <w:t xml:space="preserve">The regulations are implemented after the internal discussion </w:t>
      </w:r>
      <w:r w:rsidR="007750E1" w:rsidRPr="003F6D1E">
        <w:rPr>
          <w:rFonts w:eastAsia="標楷體"/>
        </w:rPr>
        <w:t xml:space="preserve">and </w:t>
      </w:r>
      <w:r w:rsidRPr="003F6D1E">
        <w:rPr>
          <w:rFonts w:eastAsia="標楷體"/>
        </w:rPr>
        <w:t xml:space="preserve">approval of the Office of Research and Development. </w:t>
      </w:r>
      <w:r w:rsidR="000A48FD">
        <w:rPr>
          <w:rFonts w:eastAsia="標楷體" w:hint="eastAsia"/>
        </w:rPr>
        <w:t xml:space="preserve">Similar procedure is adopted for </w:t>
      </w:r>
      <w:r w:rsidR="000A48FD">
        <w:rPr>
          <w:rFonts w:eastAsia="標楷體" w:hint="eastAsia"/>
        </w:rPr>
        <w:lastRenderedPageBreak/>
        <w:t>f</w:t>
      </w:r>
      <w:r w:rsidRPr="005937C1">
        <w:rPr>
          <w:rFonts w:eastAsia="標楷體"/>
        </w:rPr>
        <w:t>uture revisions of the regulations</w:t>
      </w:r>
      <w:r w:rsidR="007750E1" w:rsidRPr="003F6D1E">
        <w:rPr>
          <w:rFonts w:eastAsia="標楷體"/>
        </w:rPr>
        <w:t>.</w:t>
      </w:r>
    </w:p>
    <w:sectPr w:rsidR="003109C8" w:rsidRPr="003F6D1E" w:rsidSect="00D818F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77B" w:rsidRDefault="0092077B" w:rsidP="001D58B8">
      <w:r>
        <w:separator/>
      </w:r>
    </w:p>
  </w:endnote>
  <w:endnote w:type="continuationSeparator" w:id="1">
    <w:p w:rsidR="0092077B" w:rsidRDefault="0092077B" w:rsidP="001D5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8B8" w:rsidRPr="001D58B8" w:rsidRDefault="001D58B8" w:rsidP="001D58B8">
    <w:pPr>
      <w:pStyle w:val="a6"/>
      <w:jc w:val="right"/>
      <w:rPr>
        <w:sz w:val="14"/>
      </w:rPr>
    </w:pPr>
    <w:r w:rsidRPr="001D58B8">
      <w:rPr>
        <w:sz w:val="14"/>
      </w:rPr>
      <w:t>V</w:t>
    </w:r>
    <w:r w:rsidRPr="001D58B8">
      <w:rPr>
        <w:rFonts w:hint="eastAsia"/>
        <w:sz w:val="14"/>
      </w:rPr>
      <w:t>ersion CbI 1.0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77B" w:rsidRDefault="0092077B" w:rsidP="001D58B8">
      <w:r>
        <w:separator/>
      </w:r>
    </w:p>
  </w:footnote>
  <w:footnote w:type="continuationSeparator" w:id="1">
    <w:p w:rsidR="0092077B" w:rsidRDefault="0092077B" w:rsidP="001D58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5EE"/>
    <w:multiLevelType w:val="hybridMultilevel"/>
    <w:tmpl w:val="1794DA10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>
    <w:nsid w:val="01D31E59"/>
    <w:multiLevelType w:val="hybridMultilevel"/>
    <w:tmpl w:val="87E612A6"/>
    <w:lvl w:ilvl="0" w:tplc="84088E6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>
    <w:nsid w:val="09937C7C"/>
    <w:multiLevelType w:val="hybridMultilevel"/>
    <w:tmpl w:val="8CA8AEB8"/>
    <w:lvl w:ilvl="0" w:tplc="6AA488FA">
      <w:start w:val="1"/>
      <w:numFmt w:val="decimal"/>
      <w:lvlText w:val="(%1)"/>
      <w:lvlJc w:val="left"/>
      <w:pPr>
        <w:ind w:left="1440" w:hanging="48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18AD5A40"/>
    <w:multiLevelType w:val="hybridMultilevel"/>
    <w:tmpl w:val="1DC2E440"/>
    <w:lvl w:ilvl="0" w:tplc="274CF75C">
      <w:start w:val="1"/>
      <w:numFmt w:val="decimal"/>
      <w:lvlText w:val="(%1).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A174798A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B91479F"/>
    <w:multiLevelType w:val="hybridMultilevel"/>
    <w:tmpl w:val="C10A4A0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>
    <w:nsid w:val="1BAB1C48"/>
    <w:multiLevelType w:val="hybridMultilevel"/>
    <w:tmpl w:val="7462544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1CAC30AE"/>
    <w:multiLevelType w:val="multilevel"/>
    <w:tmpl w:val="74A2E7C2"/>
    <w:lvl w:ilvl="0">
      <w:start w:val="1"/>
      <w:numFmt w:val="lowerLetter"/>
      <w:lvlText w:val="%1."/>
      <w:lvlJc w:val="left"/>
      <w:pPr>
        <w:ind w:left="192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EB405DD"/>
    <w:multiLevelType w:val="hybridMultilevel"/>
    <w:tmpl w:val="2458CC88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597556D"/>
    <w:multiLevelType w:val="hybridMultilevel"/>
    <w:tmpl w:val="A23C7622"/>
    <w:lvl w:ilvl="0" w:tplc="2BE4181E">
      <w:start w:val="1"/>
      <w:numFmt w:val="bullet"/>
      <w:lvlText w:val="•"/>
      <w:lvlJc w:val="left"/>
      <w:pPr>
        <w:ind w:left="28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720" w:hanging="480"/>
      </w:pPr>
      <w:rPr>
        <w:rFonts w:ascii="Wingdings" w:hAnsi="Wingdings" w:hint="default"/>
      </w:rPr>
    </w:lvl>
  </w:abstractNum>
  <w:abstractNum w:abstractNumId="9">
    <w:nsid w:val="26E30A0C"/>
    <w:multiLevelType w:val="hybridMultilevel"/>
    <w:tmpl w:val="A3E40746"/>
    <w:lvl w:ilvl="0" w:tplc="F9C22E40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73D0BA7"/>
    <w:multiLevelType w:val="hybridMultilevel"/>
    <w:tmpl w:val="901A995E"/>
    <w:lvl w:ilvl="0" w:tplc="E0941868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316A59D3"/>
    <w:multiLevelType w:val="hybridMultilevel"/>
    <w:tmpl w:val="ACAE35D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>
    <w:nsid w:val="3A4539C6"/>
    <w:multiLevelType w:val="hybridMultilevel"/>
    <w:tmpl w:val="5A6AFAA8"/>
    <w:lvl w:ilvl="0" w:tplc="A174798A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3">
    <w:nsid w:val="3B724A2C"/>
    <w:multiLevelType w:val="hybridMultilevel"/>
    <w:tmpl w:val="A754B5BC"/>
    <w:lvl w:ilvl="0" w:tplc="667AB27A">
      <w:start w:val="1"/>
      <w:numFmt w:val="decimal"/>
      <w:lvlText w:val="Article %1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D6F15AD"/>
    <w:multiLevelType w:val="hybridMultilevel"/>
    <w:tmpl w:val="ACAE35D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5">
    <w:nsid w:val="46DF16EA"/>
    <w:multiLevelType w:val="hybridMultilevel"/>
    <w:tmpl w:val="C61E161C"/>
    <w:lvl w:ilvl="0" w:tplc="667AB27A">
      <w:start w:val="1"/>
      <w:numFmt w:val="decimal"/>
      <w:lvlText w:val="Article %1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C1D3C16"/>
    <w:multiLevelType w:val="hybridMultilevel"/>
    <w:tmpl w:val="95904230"/>
    <w:lvl w:ilvl="0" w:tplc="E094186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45C0CAA"/>
    <w:multiLevelType w:val="hybridMultilevel"/>
    <w:tmpl w:val="F5DA3D48"/>
    <w:lvl w:ilvl="0" w:tplc="055861E4">
      <w:start w:val="1"/>
      <w:numFmt w:val="lowerLetter"/>
      <w:lvlText w:val="%1.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8">
    <w:nsid w:val="5ED02DAC"/>
    <w:multiLevelType w:val="hybridMultilevel"/>
    <w:tmpl w:val="D29C6B5E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62DF430A"/>
    <w:multiLevelType w:val="hybridMultilevel"/>
    <w:tmpl w:val="74A2E7C2"/>
    <w:lvl w:ilvl="0" w:tplc="055861E4">
      <w:start w:val="1"/>
      <w:numFmt w:val="lowerLetter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4E20F93"/>
    <w:multiLevelType w:val="hybridMultilevel"/>
    <w:tmpl w:val="BFC4647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>
    <w:nsid w:val="69D67BA9"/>
    <w:multiLevelType w:val="hybridMultilevel"/>
    <w:tmpl w:val="CB1A4604"/>
    <w:lvl w:ilvl="0" w:tplc="2BE4181E">
      <w:start w:val="1"/>
      <w:numFmt w:val="bullet"/>
      <w:lvlText w:val="•"/>
      <w:lvlJc w:val="left"/>
      <w:pPr>
        <w:ind w:left="28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720" w:hanging="480"/>
      </w:pPr>
      <w:rPr>
        <w:rFonts w:ascii="Wingdings" w:hAnsi="Wingdings" w:hint="default"/>
      </w:rPr>
    </w:lvl>
  </w:abstractNum>
  <w:abstractNum w:abstractNumId="22">
    <w:nsid w:val="6BE04C1D"/>
    <w:multiLevelType w:val="hybridMultilevel"/>
    <w:tmpl w:val="551C70BC"/>
    <w:lvl w:ilvl="0" w:tplc="667AB27A">
      <w:start w:val="1"/>
      <w:numFmt w:val="decimal"/>
      <w:lvlText w:val="Article %1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47D3173"/>
    <w:multiLevelType w:val="hybridMultilevel"/>
    <w:tmpl w:val="1A86E68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6"/>
  </w:num>
  <w:num w:numId="2">
    <w:abstractNumId w:val="13"/>
  </w:num>
  <w:num w:numId="3">
    <w:abstractNumId w:val="9"/>
  </w:num>
  <w:num w:numId="4">
    <w:abstractNumId w:val="18"/>
  </w:num>
  <w:num w:numId="5">
    <w:abstractNumId w:val="20"/>
  </w:num>
  <w:num w:numId="6">
    <w:abstractNumId w:val="4"/>
  </w:num>
  <w:num w:numId="7">
    <w:abstractNumId w:val="11"/>
  </w:num>
  <w:num w:numId="8">
    <w:abstractNumId w:val="19"/>
  </w:num>
  <w:num w:numId="9">
    <w:abstractNumId w:val="6"/>
  </w:num>
  <w:num w:numId="10">
    <w:abstractNumId w:val="17"/>
  </w:num>
  <w:num w:numId="11">
    <w:abstractNumId w:val="3"/>
  </w:num>
  <w:num w:numId="12">
    <w:abstractNumId w:val="8"/>
  </w:num>
  <w:num w:numId="13">
    <w:abstractNumId w:val="12"/>
  </w:num>
  <w:num w:numId="14">
    <w:abstractNumId w:val="21"/>
  </w:num>
  <w:num w:numId="15">
    <w:abstractNumId w:val="1"/>
  </w:num>
  <w:num w:numId="16">
    <w:abstractNumId w:val="23"/>
  </w:num>
  <w:num w:numId="17">
    <w:abstractNumId w:val="14"/>
  </w:num>
  <w:num w:numId="18">
    <w:abstractNumId w:val="5"/>
  </w:num>
  <w:num w:numId="19">
    <w:abstractNumId w:val="0"/>
  </w:num>
  <w:num w:numId="20">
    <w:abstractNumId w:val="15"/>
  </w:num>
  <w:num w:numId="21">
    <w:abstractNumId w:val="7"/>
  </w:num>
  <w:num w:numId="22">
    <w:abstractNumId w:val="10"/>
  </w:num>
  <w:num w:numId="23">
    <w:abstractNumId w:val="2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6D5D"/>
    <w:rsid w:val="0000633C"/>
    <w:rsid w:val="00037A1E"/>
    <w:rsid w:val="00062626"/>
    <w:rsid w:val="000662E4"/>
    <w:rsid w:val="00084D63"/>
    <w:rsid w:val="000A48FD"/>
    <w:rsid w:val="000F11D5"/>
    <w:rsid w:val="00172694"/>
    <w:rsid w:val="001734FA"/>
    <w:rsid w:val="001A38C4"/>
    <w:rsid w:val="001A55B0"/>
    <w:rsid w:val="001C4F57"/>
    <w:rsid w:val="001D0DC8"/>
    <w:rsid w:val="001D58B8"/>
    <w:rsid w:val="001E735A"/>
    <w:rsid w:val="001F6297"/>
    <w:rsid w:val="00213665"/>
    <w:rsid w:val="00222ED6"/>
    <w:rsid w:val="00251E65"/>
    <w:rsid w:val="00257EBE"/>
    <w:rsid w:val="002B2174"/>
    <w:rsid w:val="002D1E33"/>
    <w:rsid w:val="002D2336"/>
    <w:rsid w:val="002F2EC1"/>
    <w:rsid w:val="0030767E"/>
    <w:rsid w:val="003109C8"/>
    <w:rsid w:val="0031198E"/>
    <w:rsid w:val="00316656"/>
    <w:rsid w:val="00336B28"/>
    <w:rsid w:val="00336D31"/>
    <w:rsid w:val="00344E08"/>
    <w:rsid w:val="00374FCC"/>
    <w:rsid w:val="003A72A9"/>
    <w:rsid w:val="003D6A28"/>
    <w:rsid w:val="003F6D1E"/>
    <w:rsid w:val="003F7646"/>
    <w:rsid w:val="00423215"/>
    <w:rsid w:val="00465185"/>
    <w:rsid w:val="004907DF"/>
    <w:rsid w:val="004E662F"/>
    <w:rsid w:val="0051495C"/>
    <w:rsid w:val="00543DD1"/>
    <w:rsid w:val="005702DD"/>
    <w:rsid w:val="005720A0"/>
    <w:rsid w:val="005820BB"/>
    <w:rsid w:val="005937C1"/>
    <w:rsid w:val="00601A5F"/>
    <w:rsid w:val="006342DE"/>
    <w:rsid w:val="00662B7A"/>
    <w:rsid w:val="00686C6E"/>
    <w:rsid w:val="006907B4"/>
    <w:rsid w:val="006920CC"/>
    <w:rsid w:val="0069436D"/>
    <w:rsid w:val="006B299D"/>
    <w:rsid w:val="006C051D"/>
    <w:rsid w:val="006C50DE"/>
    <w:rsid w:val="006E0D24"/>
    <w:rsid w:val="006E2AE1"/>
    <w:rsid w:val="0072326D"/>
    <w:rsid w:val="007750E1"/>
    <w:rsid w:val="007B2B83"/>
    <w:rsid w:val="007D0043"/>
    <w:rsid w:val="007E3DA9"/>
    <w:rsid w:val="00805B45"/>
    <w:rsid w:val="008563FD"/>
    <w:rsid w:val="0086329E"/>
    <w:rsid w:val="00863623"/>
    <w:rsid w:val="00864D76"/>
    <w:rsid w:val="00877279"/>
    <w:rsid w:val="008819E7"/>
    <w:rsid w:val="00883782"/>
    <w:rsid w:val="00892A04"/>
    <w:rsid w:val="008C5EC1"/>
    <w:rsid w:val="00917AA5"/>
    <w:rsid w:val="0092077B"/>
    <w:rsid w:val="00933C0F"/>
    <w:rsid w:val="009528BA"/>
    <w:rsid w:val="0095784E"/>
    <w:rsid w:val="009A1DE8"/>
    <w:rsid w:val="00A2241C"/>
    <w:rsid w:val="00A60995"/>
    <w:rsid w:val="00B315BC"/>
    <w:rsid w:val="00B32101"/>
    <w:rsid w:val="00B32E93"/>
    <w:rsid w:val="00B658A6"/>
    <w:rsid w:val="00B67A78"/>
    <w:rsid w:val="00BA4C94"/>
    <w:rsid w:val="00BC3824"/>
    <w:rsid w:val="00BF6F2A"/>
    <w:rsid w:val="00BF6F49"/>
    <w:rsid w:val="00C11E14"/>
    <w:rsid w:val="00C2548B"/>
    <w:rsid w:val="00C2735B"/>
    <w:rsid w:val="00C40FD1"/>
    <w:rsid w:val="00C77D2F"/>
    <w:rsid w:val="00CB5F4D"/>
    <w:rsid w:val="00CC3A61"/>
    <w:rsid w:val="00D169D1"/>
    <w:rsid w:val="00D23BCA"/>
    <w:rsid w:val="00D3217F"/>
    <w:rsid w:val="00D46D5D"/>
    <w:rsid w:val="00D515CF"/>
    <w:rsid w:val="00D71DAE"/>
    <w:rsid w:val="00D818FE"/>
    <w:rsid w:val="00E155BA"/>
    <w:rsid w:val="00E648E6"/>
    <w:rsid w:val="00E66D2A"/>
    <w:rsid w:val="00E71419"/>
    <w:rsid w:val="00E74CF8"/>
    <w:rsid w:val="00EA171F"/>
    <w:rsid w:val="00EC7622"/>
    <w:rsid w:val="00EF37A1"/>
    <w:rsid w:val="00F03CFC"/>
    <w:rsid w:val="00F245E8"/>
    <w:rsid w:val="00F454CF"/>
    <w:rsid w:val="00F62C61"/>
    <w:rsid w:val="00FB4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5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D5D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06262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1D58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D58B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D58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D58B8"/>
    <w:rPr>
      <w:rFonts w:ascii="Times New Roman" w:eastAsia="新細明體" w:hAnsi="Times New Roman" w:cs="Times New Roman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E66D2A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E66D2A"/>
  </w:style>
  <w:style w:type="character" w:customStyle="1" w:styleId="aa">
    <w:name w:val="註解文字 字元"/>
    <w:basedOn w:val="a0"/>
    <w:link w:val="a9"/>
    <w:uiPriority w:val="99"/>
    <w:rsid w:val="00E66D2A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66D2A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E66D2A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66D2A"/>
    <w:rPr>
      <w:rFonts w:asciiTheme="majorHAnsi" w:eastAsiaTheme="majorEastAsia" w:hAnsiTheme="majorHAnsi" w:cstheme="majorBidi"/>
      <w:sz w:val="16"/>
      <w:szCs w:val="16"/>
    </w:rPr>
  </w:style>
  <w:style w:type="character" w:customStyle="1" w:styleId="ae">
    <w:name w:val="註解方塊文字 字元"/>
    <w:basedOn w:val="a0"/>
    <w:link w:val="ad"/>
    <w:uiPriority w:val="99"/>
    <w:semiHidden/>
    <w:rsid w:val="00E66D2A"/>
    <w:rPr>
      <w:rFonts w:asciiTheme="majorHAnsi" w:eastAsiaTheme="majorEastAsia" w:hAnsiTheme="majorHAnsi" w:cstheme="majorBidi"/>
      <w:sz w:val="16"/>
      <w:szCs w:val="16"/>
    </w:rPr>
  </w:style>
  <w:style w:type="character" w:styleId="af">
    <w:name w:val="Hyperlink"/>
    <w:basedOn w:val="a0"/>
    <w:uiPriority w:val="99"/>
    <w:unhideWhenUsed/>
    <w:rsid w:val="009528B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B32E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D5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D5D"/>
    <w:pPr>
      <w:ind w:leftChars="200" w:left="480"/>
    </w:pPr>
  </w:style>
  <w:style w:type="paragraph" w:styleId="NormalWeb">
    <w:name w:val="Normal (Web)"/>
    <w:basedOn w:val="Normal"/>
    <w:uiPriority w:val="99"/>
    <w:semiHidden/>
    <w:unhideWhenUsed/>
    <w:rsid w:val="0006262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eader">
    <w:name w:val="header"/>
    <w:basedOn w:val="Normal"/>
    <w:link w:val="HeaderChar"/>
    <w:uiPriority w:val="99"/>
    <w:unhideWhenUsed/>
    <w:rsid w:val="001D58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D58B8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D58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D58B8"/>
    <w:rPr>
      <w:rFonts w:ascii="Times New Roman" w:eastAsia="新細明體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66D2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66D2A"/>
  </w:style>
  <w:style w:type="character" w:customStyle="1" w:styleId="CommentTextChar">
    <w:name w:val="Comment Text Char"/>
    <w:basedOn w:val="DefaultParagraphFont"/>
    <w:link w:val="CommentText"/>
    <w:uiPriority w:val="99"/>
    <w:rsid w:val="00E66D2A"/>
    <w:rPr>
      <w:rFonts w:ascii="Times New Roman" w:eastAsia="新細明體" w:hAnsi="Times New Roman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D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D2A"/>
    <w:rPr>
      <w:rFonts w:ascii="Times New Roman" w:eastAsia="新細明體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D2A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D2A"/>
    <w:rPr>
      <w:rFonts w:asciiTheme="majorHAnsi" w:eastAsiaTheme="majorEastAsia" w:hAnsiTheme="majorHAnsi" w:cstheme="majorBidi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28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2E9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泰峻系統_CT</cp:lastModifiedBy>
  <cp:revision>6</cp:revision>
  <cp:lastPrinted>2015-05-04T02:36:00Z</cp:lastPrinted>
  <dcterms:created xsi:type="dcterms:W3CDTF">2019-04-17T09:00:00Z</dcterms:created>
  <dcterms:modified xsi:type="dcterms:W3CDTF">2019-07-16T02:29:00Z</dcterms:modified>
</cp:coreProperties>
</file>